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9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960220" cy="868679"/>
            <wp:effectExtent b="0" l="0" r="0" t="0"/>
            <wp:docPr id="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60220" cy="86867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before="103" w:line="237" w:lineRule="auto"/>
        <w:ind w:left="1899" w:right="3079" w:firstLine="0"/>
        <w:jc w:val="center"/>
        <w:rPr/>
      </w:pPr>
      <w:r w:rsidDel="00000000" w:rsidR="00000000" w:rsidRPr="00000000">
        <w:rPr>
          <w:rtl w:val="0"/>
        </w:rPr>
        <w:t xml:space="preserve">ACTA SESIÓN DE COMISIÓN DE ESPECIALISTAS LÍNEA DE BECAS CHILE CREA</w:t>
      </w:r>
    </w:p>
    <w:p w:rsidR="00000000" w:rsidDel="00000000" w:rsidP="00000000" w:rsidRDefault="00000000" w:rsidRPr="00000000" w14:paraId="00000005">
      <w:pPr>
        <w:spacing w:line="237" w:lineRule="auto"/>
        <w:ind w:left="1632" w:right="2812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MODALIDAD BECAS MAGÍSTER, MÁSTER Y MAESTRÍAS CONVOCATORIA 2022</w:t>
      </w:r>
    </w:p>
    <w:p w:rsidR="00000000" w:rsidDel="00000000" w:rsidP="00000000" w:rsidRDefault="00000000" w:rsidRPr="00000000" w14:paraId="00000006">
      <w:pPr>
        <w:pStyle w:val="Heading1"/>
        <w:spacing w:line="240" w:lineRule="auto"/>
        <w:ind w:left="1900" w:right="3079" w:firstLine="0"/>
        <w:jc w:val="center"/>
        <w:rPr/>
      </w:pPr>
      <w:r w:rsidDel="00000000" w:rsidR="00000000" w:rsidRPr="00000000">
        <w:rPr>
          <w:rtl w:val="0"/>
        </w:rPr>
        <w:t xml:space="preserve">FONDO PARA EL FOMENTO DE LA MÚSICA NACIONAL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6" w:line="237" w:lineRule="auto"/>
        <w:ind w:left="238" w:right="1419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En Santiago de Chile, </w:t>
      </w:r>
      <w:r w:rsidDel="00000000" w:rsidR="00000000" w:rsidRPr="00000000">
        <w:rPr>
          <w:sz w:val="20"/>
          <w:szCs w:val="20"/>
          <w:rtl w:val="0"/>
        </w:rPr>
        <w:t xml:space="preserve">25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de </w:t>
      </w:r>
      <w:r w:rsidDel="00000000" w:rsidR="00000000" w:rsidRPr="00000000">
        <w:rPr>
          <w:sz w:val="20"/>
          <w:szCs w:val="20"/>
          <w:rtl w:val="0"/>
        </w:rPr>
        <w:t xml:space="preserve">noviem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bre de 2021, siendo las </w:t>
      </w:r>
      <w:r w:rsidDel="00000000" w:rsidR="00000000" w:rsidRPr="00000000">
        <w:rPr>
          <w:sz w:val="20"/>
          <w:szCs w:val="20"/>
          <w:rtl w:val="0"/>
        </w:rPr>
        <w:t xml:space="preserve">14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:00 horas, de conformidad a lo establecido en las Bases de Concurso Público del Fondo para el Fomento de la Música Nacional, Línea de Becas Chile Crea, Modalidad de Becas Magíster, Máster y Maestrías, Convocatoria 2022, aprobadas por Resolución Exenta N° 1906 de 21 de junio de 2021, de la Subsecretaría de las Culturas y las Artes; y en la Ley N° 19.928, sobre Fomento de la Música Chilena y en su Reglamento, se lleva a efecto la sesión de la Comisión de Especialistas compuesta por: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59"/>
        </w:tabs>
        <w:spacing w:after="0" w:before="0" w:line="242" w:lineRule="auto"/>
        <w:ind w:left="959" w:right="0" w:hanging="361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Paulina Cecilia Zamora Escobar, R.U.T. Nº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highlight w:val="black"/>
          <w:u w:val="none"/>
          <w:vertAlign w:val="baseline"/>
          <w:rtl w:val="0"/>
        </w:rPr>
        <w:t xml:space="preserve">9.772.334-6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(Presente);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59"/>
        </w:tabs>
        <w:spacing w:after="0" w:before="0" w:line="240" w:lineRule="auto"/>
        <w:ind w:left="959" w:right="0" w:hanging="361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Ricardo Enrique Antonio Álvarez Bulacio, R.U.T. Nº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highlight w:val="black"/>
          <w:u w:val="none"/>
          <w:vertAlign w:val="baseline"/>
          <w:rtl w:val="0"/>
        </w:rPr>
        <w:t xml:space="preserve">8.866.734-4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(Presente);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59"/>
        </w:tabs>
        <w:spacing w:after="0" w:before="0" w:line="240" w:lineRule="auto"/>
        <w:ind w:left="959" w:right="0" w:hanging="361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Katherine Pamela Andrea Bachmann Hernández, R.U.T. Nº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highlight w:val="black"/>
          <w:u w:val="none"/>
          <w:vertAlign w:val="baseline"/>
          <w:rtl w:val="0"/>
        </w:rPr>
        <w:t xml:space="preserve">15.530.525-8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(Presente);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59"/>
        </w:tabs>
        <w:spacing w:after="0" w:before="0" w:line="240" w:lineRule="auto"/>
        <w:ind w:left="959" w:right="0" w:hanging="361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Enrique Matías Reimer Millán, R.U.T. Nº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highlight w:val="black"/>
          <w:u w:val="none"/>
          <w:vertAlign w:val="baseline"/>
          <w:rtl w:val="0"/>
        </w:rPr>
        <w:t xml:space="preserve">15.337.581-K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(Presente); y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59"/>
        </w:tabs>
        <w:spacing w:after="0" w:before="0" w:line="242" w:lineRule="auto"/>
        <w:ind w:left="959" w:right="0" w:hanging="361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Juan Sebastián Cayo Sánchez, R.U.T. Nº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highlight w:val="black"/>
          <w:u w:val="none"/>
          <w:vertAlign w:val="baseline"/>
          <w:rtl w:val="0"/>
        </w:rPr>
        <w:t xml:space="preserve">14.104.717-5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(Presente).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7" w:lineRule="auto"/>
        <w:ind w:left="238" w:right="1419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dicha Comisión, le corresponde evaluar, seleccionar y determinar la asignación de recursos a los proyectos presentados al presente Concurso Público. Se deja constancia que se encuentra presente la Secretaría del Fondo para el Fomento de la Música Nacional, en adelante la Secretaría.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7" w:lineRule="auto"/>
        <w:ind w:left="238" w:right="142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 deja constancia que los integrantes de la Comisión, con anterioridad al inicio de la sesión, fueron informados de las normas de probidad y abstención dispuestas en los artículos 52 y 53 de la Ley Nº 18.575, de Bases Generales de la Administración del Estado, y 12 de la Ley Nº 19.880, de Bases de los Procedimientos Administrativos que Rigen los Actos de los Órganos de la Administración del Estado, respectivamente.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1"/>
        <w:ind w:firstLine="238"/>
        <w:rPr/>
      </w:pPr>
      <w:r w:rsidDel="00000000" w:rsidR="00000000" w:rsidRPr="00000000">
        <w:rPr>
          <w:u w:val="single"/>
          <w:rtl w:val="0"/>
        </w:rPr>
        <w:t xml:space="preserve">PRIMERO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7" w:lineRule="auto"/>
        <w:ind w:left="238" w:right="1421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Los miembros de esta Comisión de Especialistas deciden que su presidenta será Katherine Pamela Andrea Bachmann Hernández.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1"/>
        <w:ind w:firstLine="238"/>
        <w:rPr/>
      </w:pPr>
      <w:r w:rsidDel="00000000" w:rsidR="00000000" w:rsidRPr="00000000">
        <w:rPr>
          <w:u w:val="single"/>
          <w:rtl w:val="0"/>
        </w:rPr>
        <w:t xml:space="preserve">SEGUNDO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37" w:lineRule="auto"/>
        <w:ind w:left="238" w:right="1419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Secretaría dio a conocer a la Comisión que el presente concurso cuenta con un presupuesto total de $475.000.000.- (cuatrocientos setenta y cinco millones de pesos chilenos), de los cuales $195.000.000.- (ciento noventa y cinco millones de pesos chilenos) corresponden a la modalidad de Becas Magíster, Máster y Maestrías, pudiendo asignarse un monto máximo de $ $15.000.000.- (quince millones de pesos chilenos) a cada proyecto en la modalidad de Becas Magíster, Máster y Maestrías.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1"/>
        <w:spacing w:line="240" w:lineRule="auto"/>
        <w:ind w:firstLine="238"/>
        <w:rPr/>
        <w:sectPr>
          <w:pgSz w:h="15840" w:w="12240" w:orient="portrait"/>
          <w:pgMar w:bottom="280" w:top="1180" w:left="1020" w:right="280" w:header="720" w:footer="720"/>
          <w:pgNumType w:start="1"/>
        </w:sectPr>
      </w:pPr>
      <w:r w:rsidDel="00000000" w:rsidR="00000000" w:rsidRPr="00000000">
        <w:rPr>
          <w:u w:val="single"/>
          <w:rtl w:val="0"/>
        </w:rPr>
        <w:t xml:space="preserve">TERCERO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" w:line="237" w:lineRule="auto"/>
        <w:ind w:left="238" w:right="1425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Comisión de Especialistas procede a evaluar y seleccionar los proyectos que les fueron distribuidos por la Secretaría de conformidad a los criterios establecidos en las Bases de concurso, siendo estos: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240.0" w:type="dxa"/>
        <w:jc w:val="left"/>
        <w:tblInd w:w="127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2800"/>
        <w:gridCol w:w="2840"/>
        <w:gridCol w:w="1600"/>
        <w:tblGridChange w:id="0">
          <w:tblGrid>
            <w:gridCol w:w="2800"/>
            <w:gridCol w:w="2840"/>
            <w:gridCol w:w="1600"/>
          </w:tblGrid>
        </w:tblGridChange>
      </w:tblGrid>
      <w:tr>
        <w:trPr>
          <w:cantSplit w:val="0"/>
          <w:trHeight w:val="550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" w:line="237" w:lineRule="auto"/>
              <w:ind w:left="108" w:right="733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Concordancia de la Postulación</w:t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8" w:line="240" w:lineRule="auto"/>
              <w:ind w:left="137" w:right="124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Concordancia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8" w:line="240" w:lineRule="auto"/>
              <w:ind w:left="536" w:right="523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20%</w:t>
            </w:r>
          </w:p>
        </w:tc>
      </w:tr>
      <w:tr>
        <w:trPr>
          <w:cantSplit w:val="0"/>
          <w:trHeight w:val="55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3" w:line="240" w:lineRule="auto"/>
              <w:ind w:left="108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Viabilidad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3" w:line="240" w:lineRule="auto"/>
              <w:ind w:left="137" w:right="124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Solicitud Financiera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3" w:line="240" w:lineRule="auto"/>
              <w:ind w:left="536" w:right="523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5%</w:t>
            </w:r>
          </w:p>
        </w:tc>
      </w:tr>
      <w:tr>
        <w:trPr>
          <w:cantSplit w:val="0"/>
          <w:trHeight w:val="54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8" w:line="240" w:lineRule="auto"/>
              <w:ind w:left="137" w:right="124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Soporte institucional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8" w:line="240" w:lineRule="auto"/>
              <w:ind w:left="536" w:right="523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10%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3" w:line="240" w:lineRule="auto"/>
              <w:ind w:left="108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Coherencia Interna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3" w:line="240" w:lineRule="auto"/>
              <w:ind w:left="137" w:right="124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Objetivos y motivaciones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3" w:line="240" w:lineRule="auto"/>
              <w:ind w:left="536" w:right="523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15%</w:t>
            </w:r>
          </w:p>
        </w:tc>
      </w:tr>
      <w:tr>
        <w:trPr>
          <w:cantSplit w:val="0"/>
          <w:trHeight w:val="54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8" w:line="240" w:lineRule="auto"/>
              <w:ind w:left="137" w:right="124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Contenidos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8" w:line="240" w:lineRule="auto"/>
              <w:ind w:left="536" w:right="523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15%</w:t>
            </w:r>
          </w:p>
        </w:tc>
      </w:tr>
      <w:tr>
        <w:trPr>
          <w:cantSplit w:val="0"/>
          <w:trHeight w:val="550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3" w:line="240" w:lineRule="auto"/>
              <w:ind w:left="108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Currículo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3" w:line="240" w:lineRule="auto"/>
              <w:ind w:left="137" w:right="124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Currículo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3" w:line="240" w:lineRule="auto"/>
              <w:ind w:left="536" w:right="523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15%</w:t>
            </w:r>
          </w:p>
        </w:tc>
      </w:tr>
      <w:tr>
        <w:trPr>
          <w:cantSplit w:val="0"/>
          <w:trHeight w:val="549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9" w:line="240" w:lineRule="auto"/>
              <w:ind w:left="108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Impacto Potencial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37" w:lineRule="auto"/>
              <w:ind w:left="695" w:right="560" w:hanging="108.99999999999999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Transferencia de conocimientos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8" w:line="240" w:lineRule="auto"/>
              <w:ind w:left="536" w:right="523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5%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" w:line="237" w:lineRule="auto"/>
              <w:ind w:left="695" w:right="560" w:hanging="108.99999999999999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Transferencia de conocimientos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3" w:line="240" w:lineRule="auto"/>
              <w:ind w:left="536" w:right="523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10%</w:t>
            </w:r>
          </w:p>
        </w:tc>
      </w:tr>
      <w:tr>
        <w:trPr>
          <w:cantSplit w:val="0"/>
          <w:trHeight w:val="55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" w:line="237" w:lineRule="auto"/>
              <w:ind w:left="695" w:right="560" w:hanging="108.99999999999999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Transferencia de conocimientos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8" w:line="240" w:lineRule="auto"/>
              <w:ind w:left="536" w:right="523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5%</w:t>
            </w:r>
          </w:p>
        </w:tc>
      </w:tr>
    </w:tbl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20.0" w:type="dxa"/>
        <w:jc w:val="left"/>
        <w:tblInd w:w="149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420"/>
        <w:tblGridChange w:id="0">
          <w:tblGrid>
            <w:gridCol w:w="9420"/>
          </w:tblGrid>
        </w:tblGridChange>
      </w:tblGrid>
      <w:tr>
        <w:trPr>
          <w:cantSplit w:val="0"/>
          <w:trHeight w:val="209" w:hRule="atLeast"/>
          <w:tblHeader w:val="0"/>
        </w:trPr>
        <w:tc>
          <w:tcPr>
            <w:shd w:fill="808080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90" w:lineRule="auto"/>
              <w:ind w:left="104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Criterios de selección</w:t>
            </w:r>
          </w:p>
        </w:tc>
      </w:tr>
      <w:tr>
        <w:trPr>
          <w:cantSplit w:val="0"/>
          <w:trHeight w:val="710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4" w:right="76" w:firstLine="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 mayor a menor puntaje obtenido en la evaluación, debiendo asignarse al menos el 50% de los recursos disponibles en cada modalidad a proyectos de postulantes del género femenino.</w:t>
            </w:r>
          </w:p>
        </w:tc>
      </w:tr>
      <w:tr>
        <w:trPr>
          <w:cantSplit w:val="0"/>
          <w:trHeight w:val="699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4" w:lineRule="auto"/>
              <w:ind w:left="104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Cuando no haya suficientes proyectos elegibles para cumplir con este porcentaje de cuota,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4" w:right="2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los recursos serán asignados en la misma instancia de selección según el criterio de mayor a menor puntaje, sin importar el género del postulante.</w:t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1"/>
        <w:ind w:firstLine="238"/>
        <w:rPr/>
      </w:pPr>
      <w:r w:rsidDel="00000000" w:rsidR="00000000" w:rsidRPr="00000000">
        <w:rPr>
          <w:u w:val="single"/>
          <w:rtl w:val="0"/>
        </w:rPr>
        <w:t xml:space="preserve">CUARTO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7" w:lineRule="auto"/>
        <w:ind w:left="238" w:right="1419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Una vez concluida la evaluación y selección de los proyectos la Comisión de Especialistas, deja constancia de lo siguiente: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59"/>
        </w:tabs>
        <w:spacing w:after="0" w:before="0" w:line="237" w:lineRule="auto"/>
        <w:ind w:left="958" w:right="1422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El puntaje y fundamento de la evaluación, selección y asignación de recursos a los proyectos presentados al presente concurso, está disponible en la página de web </w:t>
      </w:r>
      <w:hyperlink r:id="rId8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http://www.fondosdecultura.gob.cl/.</w:t>
        </w:r>
      </w:hyperlink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Asimismo, el fundamento de asignar recursos en un monto inferior al solicitado está disponible en el sitio web indicado.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59"/>
        </w:tabs>
        <w:spacing w:after="0" w:before="0" w:line="237" w:lineRule="auto"/>
        <w:ind w:left="958" w:right="1422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59"/>
        </w:tabs>
        <w:spacing w:after="0" w:before="0" w:line="237" w:lineRule="auto"/>
        <w:ind w:left="958" w:right="1419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El listado de los proyectos seleccionados, no seleccionados, no elegibles y en lista de espera en el presente concurso, que contiene el nombre de los postulantes, el título de los proyectos, la región y los recursos asignados o asignables, se adjunta a la presente Acta y forma parte de ésta.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1"/>
        <w:ind w:firstLine="238"/>
        <w:rPr/>
      </w:pPr>
      <w:r w:rsidDel="00000000" w:rsidR="00000000" w:rsidRPr="00000000">
        <w:rPr>
          <w:u w:val="single"/>
          <w:rtl w:val="0"/>
        </w:rPr>
        <w:t xml:space="preserve">QUINTO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7" w:lineRule="auto"/>
        <w:ind w:left="238" w:right="1426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fin de evitar conflictos de interés o incumplimiento de las normas de probidad y abstención, el integrante de la Comisión: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59"/>
        </w:tabs>
        <w:spacing w:after="0" w:before="0" w:line="242" w:lineRule="auto"/>
        <w:ind w:left="959" w:right="0" w:hanging="361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Don Ricardo Álvarez se inhabilitó de conocer el proyecto folio N° 622450;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59"/>
        </w:tabs>
        <w:spacing w:after="0" w:before="0" w:line="240" w:lineRule="auto"/>
        <w:ind w:left="959" w:right="0" w:hanging="361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Don Ricardo Álvarez se inhabilitó de conocer el proyecto folio N° 625308;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59"/>
        </w:tabs>
        <w:spacing w:after="0" w:before="0" w:line="242" w:lineRule="auto"/>
        <w:ind w:left="959" w:right="0" w:hanging="361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Don Enrique Reimer se inhabilitó de conocer el proyecto folio N° 621209; y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59"/>
        </w:tabs>
        <w:spacing w:after="0" w:before="0" w:line="242" w:lineRule="auto"/>
        <w:ind w:left="959" w:right="0" w:hanging="361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Doña Katherine Bachmann se inhabilitó de conocer el proyecto folio N° 617970.</w:t>
      </w:r>
    </w:p>
    <w:p w:rsidR="00000000" w:rsidDel="00000000" w:rsidP="00000000" w:rsidRDefault="00000000" w:rsidRPr="00000000" w14:paraId="00000051">
      <w:pPr>
        <w:tabs>
          <w:tab w:val="left" w:pos="959"/>
        </w:tabs>
        <w:spacing w:line="242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pos="959"/>
        </w:tabs>
        <w:spacing w:line="242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left" w:pos="959"/>
        </w:tabs>
        <w:spacing w:line="242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tabs>
          <w:tab w:val="left" w:pos="959"/>
        </w:tabs>
        <w:spacing w:line="242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SEXTO: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pos="959"/>
        </w:tabs>
        <w:spacing w:line="242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Se deja constancia en acta que la Comisión de Especialistas ha adjudicado en total la suma de $191.555.183.- (ciento noventa y un millones quinientos cincuenta y cinco mil ciento ochenta y tres pesos chilenos), quedando disponible un remanente de $3.444.817.- (tres millones cuatrocientos cuarenta y cuatro mil ochocientos diecisiete pesos chilenos). </w:t>
      </w:r>
    </w:p>
    <w:p w:rsidR="00000000" w:rsidDel="00000000" w:rsidP="00000000" w:rsidRDefault="00000000" w:rsidRPr="00000000" w14:paraId="00000056">
      <w:pPr>
        <w:tabs>
          <w:tab w:val="left" w:pos="959"/>
        </w:tabs>
        <w:spacing w:line="242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pos="959"/>
        </w:tabs>
        <w:spacing w:line="242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Siendo el día jueves 25 de noviembre de 2021, a las 14:00 hrs., se cierra la sesión. </w:t>
      </w:r>
    </w:p>
    <w:p w:rsidR="00000000" w:rsidDel="00000000" w:rsidP="00000000" w:rsidRDefault="00000000" w:rsidRPr="00000000" w14:paraId="00000058">
      <w:pPr>
        <w:tabs>
          <w:tab w:val="left" w:pos="959"/>
        </w:tabs>
        <w:spacing w:line="242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pos="959"/>
        </w:tabs>
        <w:spacing w:line="242" w:lineRule="auto"/>
        <w:rPr>
          <w:sz w:val="20"/>
          <w:szCs w:val="20"/>
        </w:rPr>
        <w:sectPr>
          <w:type w:val="nextPage"/>
          <w:pgSz w:h="15840" w:w="12240" w:orient="portrait"/>
          <w:pgMar w:bottom="280" w:top="820" w:left="1020" w:right="280" w:header="720" w:footer="720"/>
        </w:sectPr>
      </w:pPr>
      <w:bookmarkStart w:colFirst="0" w:colLast="0" w:name="_heading=h.gjdgxs" w:id="0"/>
      <w:bookmarkEnd w:id="0"/>
      <w:r w:rsidDel="00000000" w:rsidR="00000000" w:rsidRPr="00000000">
        <w:rPr>
          <w:sz w:val="20"/>
          <w:szCs w:val="20"/>
          <w:rtl w:val="0"/>
        </w:rPr>
        <w:t xml:space="preserve">Firma la presente acta: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440690</wp:posOffset>
            </wp:positionV>
            <wp:extent cx="3714750" cy="1821180"/>
            <wp:effectExtent b="0" l="0" r="0" t="0"/>
            <wp:wrapNone/>
            <wp:docPr id="9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7259" l="3554" r="41022" t="5714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8211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635000</wp:posOffset>
                </wp:positionH>
                <wp:positionV relativeFrom="paragraph">
                  <wp:posOffset>1943100</wp:posOffset>
                </wp:positionV>
                <wp:extent cx="882650" cy="12065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17375" y="3732375"/>
                          <a:ext cx="857250" cy="95250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cap="flat" cmpd="sng" w="254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635000</wp:posOffset>
                </wp:positionH>
                <wp:positionV relativeFrom="paragraph">
                  <wp:posOffset>1943100</wp:posOffset>
                </wp:positionV>
                <wp:extent cx="882650" cy="120650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2650" cy="120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280" w:top="900" w:left="1020" w:right="2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959" w:hanging="360"/>
      </w:pPr>
      <w:rPr>
        <w:rFonts w:ascii="Verdana" w:cs="Verdana" w:eastAsia="Verdana" w:hAnsi="Verdana"/>
        <w:sz w:val="20"/>
        <w:szCs w:val="20"/>
      </w:rPr>
    </w:lvl>
    <w:lvl w:ilvl="1">
      <w:start w:val="1"/>
      <w:numFmt w:val="bullet"/>
      <w:lvlText w:val="•"/>
      <w:lvlJc w:val="left"/>
      <w:pPr>
        <w:ind w:left="1958" w:hanging="360"/>
      </w:pPr>
      <w:rPr/>
    </w:lvl>
    <w:lvl w:ilvl="2">
      <w:start w:val="1"/>
      <w:numFmt w:val="bullet"/>
      <w:lvlText w:val="•"/>
      <w:lvlJc w:val="left"/>
      <w:pPr>
        <w:ind w:left="2956" w:hanging="360"/>
      </w:pPr>
      <w:rPr/>
    </w:lvl>
    <w:lvl w:ilvl="3">
      <w:start w:val="1"/>
      <w:numFmt w:val="bullet"/>
      <w:lvlText w:val="•"/>
      <w:lvlJc w:val="left"/>
      <w:pPr>
        <w:ind w:left="3954" w:hanging="360"/>
      </w:pPr>
      <w:rPr/>
    </w:lvl>
    <w:lvl w:ilvl="4">
      <w:start w:val="1"/>
      <w:numFmt w:val="bullet"/>
      <w:lvlText w:val="•"/>
      <w:lvlJc w:val="left"/>
      <w:pPr>
        <w:ind w:left="4952" w:hanging="360"/>
      </w:pPr>
      <w:rPr/>
    </w:lvl>
    <w:lvl w:ilvl="5">
      <w:start w:val="1"/>
      <w:numFmt w:val="bullet"/>
      <w:lvlText w:val="•"/>
      <w:lvlJc w:val="left"/>
      <w:pPr>
        <w:ind w:left="5950" w:hanging="360"/>
      </w:pPr>
      <w:rPr/>
    </w:lvl>
    <w:lvl w:ilvl="6">
      <w:start w:val="1"/>
      <w:numFmt w:val="bullet"/>
      <w:lvlText w:val="•"/>
      <w:lvlJc w:val="left"/>
      <w:pPr>
        <w:ind w:left="6948" w:hanging="360"/>
      </w:pPr>
      <w:rPr/>
    </w:lvl>
    <w:lvl w:ilvl="7">
      <w:start w:val="1"/>
      <w:numFmt w:val="bullet"/>
      <w:lvlText w:val="•"/>
      <w:lvlJc w:val="left"/>
      <w:pPr>
        <w:ind w:left="7946" w:hanging="360"/>
      </w:pPr>
      <w:rPr/>
    </w:lvl>
    <w:lvl w:ilvl="8">
      <w:start w:val="1"/>
      <w:numFmt w:val="bullet"/>
      <w:lvlText w:val="•"/>
      <w:lvlJc w:val="left"/>
      <w:pPr>
        <w:ind w:left="8944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959" w:hanging="360"/>
      </w:pPr>
      <w:rPr>
        <w:rFonts w:ascii="Verdana" w:cs="Verdana" w:eastAsia="Verdana" w:hAnsi="Verdana"/>
        <w:sz w:val="20"/>
        <w:szCs w:val="20"/>
      </w:rPr>
    </w:lvl>
    <w:lvl w:ilvl="1">
      <w:start w:val="1"/>
      <w:numFmt w:val="bullet"/>
      <w:lvlText w:val="•"/>
      <w:lvlJc w:val="left"/>
      <w:pPr>
        <w:ind w:left="1958" w:hanging="360"/>
      </w:pPr>
      <w:rPr/>
    </w:lvl>
    <w:lvl w:ilvl="2">
      <w:start w:val="1"/>
      <w:numFmt w:val="bullet"/>
      <w:lvlText w:val="•"/>
      <w:lvlJc w:val="left"/>
      <w:pPr>
        <w:ind w:left="2956" w:hanging="360"/>
      </w:pPr>
      <w:rPr/>
    </w:lvl>
    <w:lvl w:ilvl="3">
      <w:start w:val="1"/>
      <w:numFmt w:val="bullet"/>
      <w:lvlText w:val="•"/>
      <w:lvlJc w:val="left"/>
      <w:pPr>
        <w:ind w:left="3954" w:hanging="360"/>
      </w:pPr>
      <w:rPr/>
    </w:lvl>
    <w:lvl w:ilvl="4">
      <w:start w:val="1"/>
      <w:numFmt w:val="bullet"/>
      <w:lvlText w:val="•"/>
      <w:lvlJc w:val="left"/>
      <w:pPr>
        <w:ind w:left="4952" w:hanging="360"/>
      </w:pPr>
      <w:rPr/>
    </w:lvl>
    <w:lvl w:ilvl="5">
      <w:start w:val="1"/>
      <w:numFmt w:val="bullet"/>
      <w:lvlText w:val="•"/>
      <w:lvlJc w:val="left"/>
      <w:pPr>
        <w:ind w:left="5950" w:hanging="360"/>
      </w:pPr>
      <w:rPr/>
    </w:lvl>
    <w:lvl w:ilvl="6">
      <w:start w:val="1"/>
      <w:numFmt w:val="bullet"/>
      <w:lvlText w:val="•"/>
      <w:lvlJc w:val="left"/>
      <w:pPr>
        <w:ind w:left="6948" w:hanging="360"/>
      </w:pPr>
      <w:rPr/>
    </w:lvl>
    <w:lvl w:ilvl="7">
      <w:start w:val="1"/>
      <w:numFmt w:val="bullet"/>
      <w:lvlText w:val="•"/>
      <w:lvlJc w:val="left"/>
      <w:pPr>
        <w:ind w:left="7946" w:hanging="360"/>
      </w:pPr>
      <w:rPr/>
    </w:lvl>
    <w:lvl w:ilvl="8">
      <w:start w:val="1"/>
      <w:numFmt w:val="bullet"/>
      <w:lvlText w:val="•"/>
      <w:lvlJc w:val="left"/>
      <w:pPr>
        <w:ind w:left="8944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959" w:hanging="360"/>
      </w:pPr>
      <w:rPr>
        <w:rFonts w:ascii="Verdana" w:cs="Verdana" w:eastAsia="Verdana" w:hAnsi="Verdana"/>
        <w:sz w:val="20"/>
        <w:szCs w:val="20"/>
      </w:rPr>
    </w:lvl>
    <w:lvl w:ilvl="1">
      <w:start w:val="1"/>
      <w:numFmt w:val="bullet"/>
      <w:lvlText w:val="•"/>
      <w:lvlJc w:val="left"/>
      <w:pPr>
        <w:ind w:left="1958" w:hanging="360"/>
      </w:pPr>
      <w:rPr/>
    </w:lvl>
    <w:lvl w:ilvl="2">
      <w:start w:val="1"/>
      <w:numFmt w:val="bullet"/>
      <w:lvlText w:val="•"/>
      <w:lvlJc w:val="left"/>
      <w:pPr>
        <w:ind w:left="2956" w:hanging="360"/>
      </w:pPr>
      <w:rPr/>
    </w:lvl>
    <w:lvl w:ilvl="3">
      <w:start w:val="1"/>
      <w:numFmt w:val="bullet"/>
      <w:lvlText w:val="•"/>
      <w:lvlJc w:val="left"/>
      <w:pPr>
        <w:ind w:left="3954" w:hanging="360"/>
      </w:pPr>
      <w:rPr/>
    </w:lvl>
    <w:lvl w:ilvl="4">
      <w:start w:val="1"/>
      <w:numFmt w:val="bullet"/>
      <w:lvlText w:val="•"/>
      <w:lvlJc w:val="left"/>
      <w:pPr>
        <w:ind w:left="4952" w:hanging="360"/>
      </w:pPr>
      <w:rPr/>
    </w:lvl>
    <w:lvl w:ilvl="5">
      <w:start w:val="1"/>
      <w:numFmt w:val="bullet"/>
      <w:lvlText w:val="•"/>
      <w:lvlJc w:val="left"/>
      <w:pPr>
        <w:ind w:left="5950" w:hanging="360"/>
      </w:pPr>
      <w:rPr/>
    </w:lvl>
    <w:lvl w:ilvl="6">
      <w:start w:val="1"/>
      <w:numFmt w:val="bullet"/>
      <w:lvlText w:val="•"/>
      <w:lvlJc w:val="left"/>
      <w:pPr>
        <w:ind w:left="6948" w:hanging="360"/>
      </w:pPr>
      <w:rPr/>
    </w:lvl>
    <w:lvl w:ilvl="7">
      <w:start w:val="1"/>
      <w:numFmt w:val="bullet"/>
      <w:lvlText w:val="•"/>
      <w:lvlJc w:val="left"/>
      <w:pPr>
        <w:ind w:left="7946" w:hanging="360"/>
      </w:pPr>
      <w:rPr/>
    </w:lvl>
    <w:lvl w:ilvl="8">
      <w:start w:val="1"/>
      <w:numFmt w:val="bullet"/>
      <w:lvlText w:val="•"/>
      <w:lvlJc w:val="left"/>
      <w:pPr>
        <w:ind w:left="8944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Verdana" w:cs="Verdana" w:eastAsia="Verdana" w:hAnsi="Verdana"/>
        <w:sz w:val="22"/>
        <w:szCs w:val="22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2" w:lineRule="auto"/>
      <w:ind w:left="238"/>
    </w:pPr>
    <w:rPr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Verdana" w:cs="Verdana" w:eastAsia="Verdana" w:hAnsi="Verdana"/>
      <w:lang w:val="es-ES"/>
    </w:rPr>
  </w:style>
  <w:style w:type="paragraph" w:styleId="Ttulo1">
    <w:name w:val="heading 1"/>
    <w:basedOn w:val="Normal"/>
    <w:uiPriority w:val="1"/>
    <w:qFormat w:val="1"/>
    <w:pPr>
      <w:spacing w:line="242" w:lineRule="exact"/>
      <w:ind w:left="238"/>
      <w:outlineLvl w:val="0"/>
    </w:pPr>
    <w:rPr>
      <w:b w:val="1"/>
      <w:bCs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independiente">
    <w:name w:val="Body Text"/>
    <w:basedOn w:val="Normal"/>
    <w:uiPriority w:val="1"/>
    <w:qFormat w:val="1"/>
    <w:rPr>
      <w:sz w:val="20"/>
      <w:szCs w:val="20"/>
    </w:rPr>
  </w:style>
  <w:style w:type="paragraph" w:styleId="Prrafodelista">
    <w:name w:val="List Paragraph"/>
    <w:basedOn w:val="Normal"/>
    <w:uiPriority w:val="1"/>
    <w:qFormat w:val="1"/>
    <w:pPr>
      <w:spacing w:line="240" w:lineRule="exact"/>
      <w:ind w:left="959" w:hanging="361"/>
    </w:pPr>
  </w:style>
  <w:style w:type="paragraph" w:styleId="TableParagraph" w:customStyle="1">
    <w:name w:val="Table Paragraph"/>
    <w:basedOn w:val="Normal"/>
    <w:uiPriority w:val="1"/>
    <w:qFormat w:val="1"/>
    <w:pPr>
      <w:ind w:left="536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3.png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fondosdecultura.gob.c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WhlFOcTh/rDxnK7sYlQGKRbSfA==">AMUW2mVjm0kDEhuICEr3V/n+zKkRIIWHMw9UGyewMZzEsbBLqptBViEW2IIgW+G09ShblMqZKi49xKBzSHq5qmfrKZwgxePG5dQRTdnDwugheuzXPg8ZL8Iqu9nKABvxes2UPdzDB/hf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2022-01-04T12:58:00Z</dcterms:created>
</cp:coreProperties>
</file>