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E32" w:rsidRDefault="00AB1E32">
      <w:pPr>
        <w:rPr>
          <w:rFonts w:ascii="Verdana" w:eastAsia="Verdana" w:hAnsi="Verdana" w:cs="Verdana"/>
          <w:sz w:val="20"/>
          <w:szCs w:val="20"/>
        </w:rPr>
      </w:pPr>
      <w:bookmarkStart w:id="0" w:name="_heading=h.gjdgxs" w:colFirst="0" w:colLast="0"/>
      <w:bookmarkEnd w:id="0"/>
    </w:p>
    <w:p w:rsidR="00AB1E32" w:rsidRDefault="00842754">
      <w:pPr>
        <w:rPr>
          <w:rFonts w:ascii="Verdana" w:eastAsia="Verdana" w:hAnsi="Verdana" w:cs="Verdana"/>
          <w:b/>
          <w:sz w:val="20"/>
          <w:szCs w:val="20"/>
        </w:rPr>
      </w:pPr>
      <w:bookmarkStart w:id="1" w:name="_heading=h.30j0zll" w:colFirst="0" w:colLast="0"/>
      <w:bookmarkEnd w:id="1"/>
      <w:r>
        <w:rPr>
          <w:rFonts w:ascii="Verdana" w:eastAsia="Verdana" w:hAnsi="Verdana" w:cs="Verdana"/>
          <w:noProof/>
          <w:sz w:val="20"/>
          <w:szCs w:val="20"/>
          <w:lang w:val="es-CL" w:eastAsia="es-CL"/>
        </w:rPr>
        <w:drawing>
          <wp:inline distT="0" distB="0" distL="0" distR="0">
            <wp:extent cx="952500" cy="863600"/>
            <wp:effectExtent l="0" t="0" r="0" b="0"/>
            <wp:docPr id="8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63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B1E32" w:rsidRDefault="00AB1E32">
      <w:pPr>
        <w:rPr>
          <w:rFonts w:ascii="Verdana" w:eastAsia="Verdana" w:hAnsi="Verdana" w:cs="Verdana"/>
          <w:b/>
          <w:sz w:val="20"/>
          <w:szCs w:val="20"/>
        </w:rPr>
      </w:pPr>
    </w:p>
    <w:p w:rsidR="00AB1E32" w:rsidRDefault="00AB1E32">
      <w:pPr>
        <w:ind w:left="1416" w:firstLine="707"/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AB1E32" w:rsidRDefault="00842754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ACTA SESIÓN DE COMISIÓN DE ESPECIALISTAS</w:t>
      </w:r>
    </w:p>
    <w:p w:rsidR="00AB1E32" w:rsidRDefault="00842754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LÍNEA DE DIFUSIÓN DE LA MÚSICA NACIONAL</w:t>
      </w:r>
    </w:p>
    <w:p w:rsidR="00AB1E32" w:rsidRDefault="00842754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MODALIDAD DE COMUNICACIONES</w:t>
      </w:r>
    </w:p>
    <w:p w:rsidR="00AB1E32" w:rsidRDefault="00842754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CONVOCATORIA 2022</w:t>
      </w:r>
    </w:p>
    <w:p w:rsidR="00AB1E32" w:rsidRDefault="00842754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FONDO PARA EL FOMENTO DE LA MÚSICA NACIONAL</w:t>
      </w:r>
    </w:p>
    <w:p w:rsidR="00AB1E32" w:rsidRDefault="00842754">
      <w:pPr>
        <w:tabs>
          <w:tab w:val="left" w:pos="7920"/>
          <w:tab w:val="left" w:pos="8640"/>
        </w:tabs>
        <w:ind w:firstLine="4320"/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</w:p>
    <w:p w:rsidR="00AB1E32" w:rsidRDefault="00842754">
      <w:pPr>
        <w:jc w:val="both"/>
        <w:rPr>
          <w:rFonts w:ascii="Verdana" w:eastAsia="Verdana" w:hAnsi="Verdana" w:cs="Verdana"/>
          <w:sz w:val="20"/>
          <w:szCs w:val="20"/>
        </w:rPr>
      </w:pPr>
      <w:bookmarkStart w:id="2" w:name="_heading=h.1fob9te" w:colFirst="0" w:colLast="0"/>
      <w:bookmarkEnd w:id="2"/>
      <w:r>
        <w:rPr>
          <w:rFonts w:ascii="Verdana" w:eastAsia="Verdana" w:hAnsi="Verdana" w:cs="Verdana"/>
          <w:sz w:val="20"/>
          <w:szCs w:val="20"/>
        </w:rPr>
        <w:t>En Santiago de Chile, a jueves 25 de noviembre de 2021, siendo las 14:00 horas, de conformidad a lo -establecido en las Bases de Convocatoria Pública del Fondo para el Fomento de la Música Nacional, Línea de Difusión de la Música Nacional, Modalidad de Com</w:t>
      </w:r>
      <w:r>
        <w:rPr>
          <w:rFonts w:ascii="Verdana" w:eastAsia="Verdana" w:hAnsi="Verdana" w:cs="Verdana"/>
          <w:sz w:val="20"/>
          <w:szCs w:val="20"/>
        </w:rPr>
        <w:t>unicaciones, Convocatoria 2022, aprobadas por Resolución Exenta N°</w:t>
      </w:r>
      <w:r>
        <w:rPr>
          <w:rFonts w:ascii="Calibri" w:eastAsia="Calibri" w:hAnsi="Calibri" w:cs="Calibri"/>
          <w:sz w:val="22"/>
          <w:szCs w:val="22"/>
        </w:rPr>
        <w:t>1895</w:t>
      </w:r>
      <w:r>
        <w:rPr>
          <w:rFonts w:ascii="Verdana" w:eastAsia="Verdana" w:hAnsi="Verdana" w:cs="Verdana"/>
          <w:sz w:val="20"/>
          <w:szCs w:val="20"/>
        </w:rPr>
        <w:t xml:space="preserve"> de 20 de julio de 2021,  la Subsecretaría de las Culturas y las Artes; y en la Ley N° 19.928, sobre Fomento de la Música Chilena y en su Reglamento, se lleva a efecto la sesión de la Co</w:t>
      </w:r>
      <w:r>
        <w:rPr>
          <w:rFonts w:ascii="Verdana" w:eastAsia="Verdana" w:hAnsi="Verdana" w:cs="Verdana"/>
          <w:sz w:val="20"/>
          <w:szCs w:val="20"/>
        </w:rPr>
        <w:t>misión de Especialistas compuesta por:</w:t>
      </w:r>
    </w:p>
    <w:p w:rsidR="00AB1E32" w:rsidRDefault="00AB1E32">
      <w:pPr>
        <w:jc w:val="both"/>
        <w:rPr>
          <w:rFonts w:ascii="Verdana" w:eastAsia="Verdana" w:hAnsi="Verdana" w:cs="Verdana"/>
          <w:sz w:val="20"/>
          <w:szCs w:val="20"/>
          <w:highlight w:val="white"/>
        </w:rPr>
      </w:pPr>
    </w:p>
    <w:p w:rsidR="00AB1E32" w:rsidRDefault="008427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Verdana" w:eastAsia="Verdana" w:hAnsi="Verdana" w:cs="Verdana"/>
          <w:color w:val="000000"/>
          <w:sz w:val="20"/>
          <w:szCs w:val="20"/>
          <w:highlight w:val="white"/>
        </w:rPr>
      </w:pPr>
      <w:r>
        <w:rPr>
          <w:rFonts w:ascii="Verdana" w:eastAsia="Verdana" w:hAnsi="Verdana" w:cs="Verdana"/>
          <w:sz w:val="20"/>
          <w:szCs w:val="20"/>
          <w:highlight w:val="white"/>
        </w:rPr>
        <w:t xml:space="preserve">Macarena Lavín de </w:t>
      </w:r>
      <w:proofErr w:type="spellStart"/>
      <w:r>
        <w:rPr>
          <w:rFonts w:ascii="Verdana" w:eastAsia="Verdana" w:hAnsi="Verdana" w:cs="Verdana"/>
          <w:sz w:val="20"/>
          <w:szCs w:val="20"/>
          <w:highlight w:val="white"/>
        </w:rPr>
        <w:t>Tezanos</w:t>
      </w:r>
      <w:proofErr w:type="spellEnd"/>
      <w:r>
        <w:rPr>
          <w:rFonts w:ascii="Verdana" w:eastAsia="Verdana" w:hAnsi="Verdana" w:cs="Verdana"/>
          <w:sz w:val="20"/>
          <w:szCs w:val="20"/>
          <w:highlight w:val="white"/>
        </w:rPr>
        <w:t xml:space="preserve"> Pinto</w:t>
      </w:r>
      <w:r>
        <w:rPr>
          <w:rFonts w:ascii="Verdana" w:eastAsia="Verdana" w:hAnsi="Verdana" w:cs="Verdana"/>
          <w:color w:val="000000"/>
          <w:sz w:val="20"/>
          <w:szCs w:val="20"/>
          <w:highlight w:val="white"/>
        </w:rPr>
        <w:t xml:space="preserve">, R.U.T. Nº </w:t>
      </w:r>
      <w:r w:rsidRPr="00065730">
        <w:rPr>
          <w:rFonts w:ascii="Verdana" w:eastAsia="Verdana" w:hAnsi="Verdana" w:cs="Verdana"/>
          <w:sz w:val="20"/>
          <w:szCs w:val="20"/>
          <w:highlight w:val="black"/>
        </w:rPr>
        <w:t xml:space="preserve">13.851.479-K </w:t>
      </w:r>
      <w:r>
        <w:rPr>
          <w:rFonts w:ascii="Verdana" w:eastAsia="Verdana" w:hAnsi="Verdana" w:cs="Verdana"/>
          <w:color w:val="000000"/>
          <w:sz w:val="20"/>
          <w:szCs w:val="20"/>
          <w:highlight w:val="white"/>
        </w:rPr>
        <w:t>(Presente);</w:t>
      </w:r>
    </w:p>
    <w:p w:rsidR="00AB1E32" w:rsidRDefault="008427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Verdana" w:eastAsia="Verdana" w:hAnsi="Verdana" w:cs="Verdana"/>
          <w:color w:val="000000"/>
          <w:sz w:val="20"/>
          <w:szCs w:val="20"/>
          <w:highlight w:val="white"/>
        </w:rPr>
      </w:pPr>
      <w:r>
        <w:rPr>
          <w:rFonts w:ascii="Verdana" w:eastAsia="Verdana" w:hAnsi="Verdana" w:cs="Verdana"/>
          <w:sz w:val="20"/>
          <w:szCs w:val="20"/>
          <w:highlight w:val="white"/>
        </w:rPr>
        <w:t>María de los Ángeles Cerda Vega</w:t>
      </w:r>
      <w:r>
        <w:rPr>
          <w:rFonts w:ascii="Verdana" w:eastAsia="Verdana" w:hAnsi="Verdana" w:cs="Verdana"/>
          <w:color w:val="000000"/>
          <w:sz w:val="20"/>
          <w:szCs w:val="20"/>
          <w:highlight w:val="white"/>
        </w:rPr>
        <w:t xml:space="preserve">, R.U.T. Nº </w:t>
      </w:r>
      <w:r w:rsidRPr="00065730">
        <w:rPr>
          <w:rFonts w:ascii="Verdana" w:eastAsia="Verdana" w:hAnsi="Verdana" w:cs="Verdana"/>
          <w:sz w:val="20"/>
          <w:szCs w:val="20"/>
          <w:highlight w:val="black"/>
        </w:rPr>
        <w:t xml:space="preserve">13.946.001-4 </w:t>
      </w:r>
      <w:r>
        <w:rPr>
          <w:rFonts w:ascii="Verdana" w:eastAsia="Verdana" w:hAnsi="Verdana" w:cs="Verdana"/>
          <w:color w:val="000000"/>
          <w:sz w:val="20"/>
          <w:szCs w:val="20"/>
          <w:highlight w:val="white"/>
        </w:rPr>
        <w:t>(Presente);</w:t>
      </w:r>
    </w:p>
    <w:p w:rsidR="00AB1E32" w:rsidRDefault="008427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Verdana" w:eastAsia="Verdana" w:hAnsi="Verdana" w:cs="Verdana"/>
          <w:color w:val="000000"/>
          <w:sz w:val="20"/>
          <w:szCs w:val="20"/>
          <w:highlight w:val="white"/>
        </w:rPr>
      </w:pPr>
      <w:r>
        <w:rPr>
          <w:rFonts w:ascii="Verdana" w:eastAsia="Verdana" w:hAnsi="Verdana" w:cs="Verdana"/>
          <w:sz w:val="20"/>
          <w:szCs w:val="20"/>
          <w:highlight w:val="white"/>
        </w:rPr>
        <w:t>Javiera José Tapia Flores</w:t>
      </w:r>
      <w:r>
        <w:rPr>
          <w:rFonts w:ascii="Verdana" w:eastAsia="Verdana" w:hAnsi="Verdana" w:cs="Verdana"/>
          <w:color w:val="000000"/>
          <w:sz w:val="20"/>
          <w:szCs w:val="20"/>
          <w:highlight w:val="white"/>
        </w:rPr>
        <w:t>, R.U</w:t>
      </w:r>
      <w:r>
        <w:rPr>
          <w:rFonts w:ascii="Verdana" w:eastAsia="Verdana" w:hAnsi="Verdana" w:cs="Verdana"/>
          <w:sz w:val="20"/>
          <w:szCs w:val="20"/>
          <w:highlight w:val="white"/>
        </w:rPr>
        <w:t>.</w:t>
      </w:r>
      <w:r>
        <w:rPr>
          <w:rFonts w:ascii="Verdana" w:eastAsia="Verdana" w:hAnsi="Verdana" w:cs="Verdana"/>
          <w:color w:val="000000"/>
          <w:sz w:val="20"/>
          <w:szCs w:val="20"/>
          <w:highlight w:val="white"/>
        </w:rPr>
        <w:t xml:space="preserve">T. N° </w:t>
      </w:r>
      <w:r w:rsidRPr="00065730">
        <w:rPr>
          <w:rFonts w:ascii="Verdana" w:eastAsia="Verdana" w:hAnsi="Verdana" w:cs="Verdana"/>
          <w:color w:val="000000"/>
          <w:sz w:val="20"/>
          <w:szCs w:val="20"/>
          <w:highlight w:val="black"/>
        </w:rPr>
        <w:t xml:space="preserve">16.976.213-9 </w:t>
      </w:r>
      <w:r>
        <w:rPr>
          <w:rFonts w:ascii="Verdana" w:eastAsia="Verdana" w:hAnsi="Verdana" w:cs="Verdana"/>
          <w:color w:val="000000"/>
          <w:sz w:val="20"/>
          <w:szCs w:val="20"/>
          <w:highlight w:val="white"/>
        </w:rPr>
        <w:t>(Presente);</w:t>
      </w:r>
    </w:p>
    <w:p w:rsidR="00AB1E32" w:rsidRDefault="008427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Verdana" w:eastAsia="Verdana" w:hAnsi="Verdana" w:cs="Verdana"/>
          <w:color w:val="000000"/>
          <w:sz w:val="20"/>
          <w:szCs w:val="20"/>
          <w:highlight w:val="white"/>
        </w:rPr>
      </w:pPr>
      <w:r>
        <w:rPr>
          <w:rFonts w:ascii="Verdana" w:eastAsia="Verdana" w:hAnsi="Verdana" w:cs="Verdana"/>
          <w:sz w:val="20"/>
          <w:szCs w:val="20"/>
          <w:highlight w:val="white"/>
        </w:rPr>
        <w:t xml:space="preserve">Alejandra Andrea </w:t>
      </w:r>
      <w:proofErr w:type="spellStart"/>
      <w:r>
        <w:rPr>
          <w:rFonts w:ascii="Verdana" w:eastAsia="Verdana" w:hAnsi="Verdana" w:cs="Verdana"/>
          <w:sz w:val="20"/>
          <w:szCs w:val="20"/>
          <w:highlight w:val="white"/>
        </w:rPr>
        <w:t>Fritis</w:t>
      </w:r>
      <w:proofErr w:type="spellEnd"/>
      <w:r>
        <w:rPr>
          <w:rFonts w:ascii="Verdana" w:eastAsia="Verdana" w:hAnsi="Verdana" w:cs="Verdana"/>
          <w:sz w:val="20"/>
          <w:szCs w:val="20"/>
          <w:highlight w:val="white"/>
        </w:rPr>
        <w:t xml:space="preserve"> Zapata</w:t>
      </w:r>
      <w:r>
        <w:rPr>
          <w:rFonts w:ascii="Verdana" w:eastAsia="Verdana" w:hAnsi="Verdana" w:cs="Verdana"/>
          <w:color w:val="000000"/>
          <w:sz w:val="20"/>
          <w:szCs w:val="20"/>
          <w:highlight w:val="white"/>
        </w:rPr>
        <w:t>, R.U.T.</w:t>
      </w:r>
      <w:r>
        <w:rPr>
          <w:rFonts w:ascii="Verdana" w:eastAsia="Verdana" w:hAnsi="Verdana" w:cs="Verdana"/>
          <w:sz w:val="20"/>
          <w:szCs w:val="20"/>
          <w:highlight w:val="white"/>
        </w:rPr>
        <w:t xml:space="preserve"> Nº </w:t>
      </w:r>
      <w:r w:rsidRPr="00065730">
        <w:rPr>
          <w:rFonts w:ascii="Verdana" w:eastAsia="Verdana" w:hAnsi="Verdana" w:cs="Verdana"/>
          <w:sz w:val="20"/>
          <w:szCs w:val="20"/>
          <w:highlight w:val="black"/>
        </w:rPr>
        <w:t xml:space="preserve">12.159.188-K </w:t>
      </w:r>
      <w:r>
        <w:rPr>
          <w:rFonts w:ascii="Verdana" w:eastAsia="Verdana" w:hAnsi="Verdana" w:cs="Verdana"/>
          <w:color w:val="000000"/>
          <w:sz w:val="20"/>
          <w:szCs w:val="20"/>
          <w:highlight w:val="white"/>
        </w:rPr>
        <w:t>(Presente);</w:t>
      </w:r>
    </w:p>
    <w:p w:rsidR="00AB1E32" w:rsidRDefault="008427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Verdana" w:eastAsia="Verdana" w:hAnsi="Verdana" w:cs="Verdana"/>
          <w:color w:val="000000"/>
          <w:sz w:val="20"/>
          <w:szCs w:val="20"/>
          <w:highlight w:val="white"/>
        </w:rPr>
      </w:pPr>
      <w:r>
        <w:rPr>
          <w:rFonts w:ascii="Verdana" w:eastAsia="Verdana" w:hAnsi="Verdana" w:cs="Verdana"/>
          <w:sz w:val="20"/>
          <w:szCs w:val="20"/>
          <w:highlight w:val="white"/>
        </w:rPr>
        <w:t xml:space="preserve">Danae </w:t>
      </w:r>
      <w:proofErr w:type="spellStart"/>
      <w:r>
        <w:rPr>
          <w:rFonts w:ascii="Verdana" w:eastAsia="Verdana" w:hAnsi="Verdana" w:cs="Verdana"/>
          <w:sz w:val="20"/>
          <w:szCs w:val="20"/>
          <w:highlight w:val="white"/>
        </w:rPr>
        <w:t>Toselli</w:t>
      </w:r>
      <w:proofErr w:type="spellEnd"/>
      <w:r>
        <w:rPr>
          <w:rFonts w:ascii="Verdana" w:eastAsia="Verdana" w:hAnsi="Verdana" w:cs="Verdana"/>
          <w:sz w:val="20"/>
          <w:szCs w:val="20"/>
          <w:highlight w:val="white"/>
        </w:rPr>
        <w:t xml:space="preserve"> Vásquez</w:t>
      </w:r>
      <w:r>
        <w:rPr>
          <w:rFonts w:ascii="Verdana" w:eastAsia="Verdana" w:hAnsi="Verdana" w:cs="Verdana"/>
          <w:color w:val="000000"/>
          <w:sz w:val="20"/>
          <w:szCs w:val="20"/>
          <w:highlight w:val="white"/>
        </w:rPr>
        <w:t xml:space="preserve">, R.U.T. N° </w:t>
      </w:r>
      <w:r w:rsidRPr="00065730">
        <w:rPr>
          <w:rFonts w:ascii="Verdana" w:eastAsia="Verdana" w:hAnsi="Verdana" w:cs="Verdana"/>
          <w:color w:val="000000"/>
          <w:sz w:val="20"/>
          <w:szCs w:val="20"/>
          <w:highlight w:val="black"/>
        </w:rPr>
        <w:t>16.362.268-8</w:t>
      </w:r>
      <w:r w:rsidRPr="00065730">
        <w:rPr>
          <w:rFonts w:ascii="Verdana" w:eastAsia="Verdana" w:hAnsi="Verdana" w:cs="Verdana"/>
          <w:sz w:val="20"/>
          <w:szCs w:val="20"/>
          <w:highlight w:val="black"/>
        </w:rPr>
        <w:t xml:space="preserve"> </w:t>
      </w:r>
      <w:r>
        <w:rPr>
          <w:rFonts w:ascii="Verdana" w:eastAsia="Verdana" w:hAnsi="Verdana" w:cs="Verdana"/>
          <w:color w:val="000000"/>
          <w:sz w:val="20"/>
          <w:szCs w:val="20"/>
          <w:highlight w:val="white"/>
        </w:rPr>
        <w:t>(Presente);</w:t>
      </w:r>
    </w:p>
    <w:p w:rsidR="00AB1E32" w:rsidRDefault="008427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Verdana" w:eastAsia="Verdana" w:hAnsi="Verdana" w:cs="Verdana"/>
          <w:sz w:val="20"/>
          <w:szCs w:val="20"/>
          <w:highlight w:val="white"/>
        </w:rPr>
      </w:pPr>
      <w:r>
        <w:rPr>
          <w:rFonts w:ascii="Verdana" w:eastAsia="Verdana" w:hAnsi="Verdana" w:cs="Verdana"/>
          <w:sz w:val="20"/>
          <w:szCs w:val="20"/>
          <w:highlight w:val="white"/>
        </w:rPr>
        <w:t xml:space="preserve">Eduardo </w:t>
      </w:r>
      <w:proofErr w:type="spellStart"/>
      <w:r>
        <w:rPr>
          <w:rFonts w:ascii="Verdana" w:eastAsia="Verdana" w:hAnsi="Verdana" w:cs="Verdana"/>
          <w:sz w:val="20"/>
          <w:szCs w:val="20"/>
          <w:highlight w:val="white"/>
        </w:rPr>
        <w:t>Elgueta</w:t>
      </w:r>
      <w:proofErr w:type="spellEnd"/>
      <w:r>
        <w:rPr>
          <w:rFonts w:ascii="Verdana" w:eastAsia="Verdana" w:hAnsi="Verdana" w:cs="Verdana"/>
          <w:sz w:val="20"/>
          <w:szCs w:val="20"/>
          <w:highlight w:val="white"/>
        </w:rPr>
        <w:t xml:space="preserve"> Paz, R.U.T. Nº </w:t>
      </w:r>
      <w:r w:rsidRPr="00065730">
        <w:rPr>
          <w:rFonts w:ascii="Verdana" w:eastAsia="Verdana" w:hAnsi="Verdana" w:cs="Verdana"/>
          <w:sz w:val="20"/>
          <w:szCs w:val="20"/>
          <w:highlight w:val="black"/>
        </w:rPr>
        <w:t xml:space="preserve">12.615.109-8 </w:t>
      </w:r>
      <w:r>
        <w:rPr>
          <w:rFonts w:ascii="Verdana" w:eastAsia="Verdana" w:hAnsi="Verdana" w:cs="Verdana"/>
          <w:sz w:val="20"/>
          <w:szCs w:val="20"/>
          <w:highlight w:val="white"/>
        </w:rPr>
        <w:t>(Presente);</w:t>
      </w:r>
    </w:p>
    <w:p w:rsidR="00AB1E32" w:rsidRDefault="008427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Verdana" w:eastAsia="Verdana" w:hAnsi="Verdana" w:cs="Verdana"/>
          <w:sz w:val="20"/>
          <w:szCs w:val="20"/>
          <w:highlight w:val="white"/>
        </w:rPr>
      </w:pPr>
      <w:r>
        <w:rPr>
          <w:rFonts w:ascii="Verdana" w:eastAsia="Verdana" w:hAnsi="Verdana" w:cs="Verdana"/>
          <w:sz w:val="20"/>
          <w:szCs w:val="20"/>
          <w:highlight w:val="white"/>
        </w:rPr>
        <w:t xml:space="preserve">Sandra Isabel </w:t>
      </w:r>
      <w:proofErr w:type="spellStart"/>
      <w:r>
        <w:rPr>
          <w:rFonts w:ascii="Verdana" w:eastAsia="Verdana" w:hAnsi="Verdana" w:cs="Verdana"/>
          <w:sz w:val="20"/>
          <w:szCs w:val="20"/>
          <w:highlight w:val="white"/>
        </w:rPr>
        <w:t>Zeballos</w:t>
      </w:r>
      <w:proofErr w:type="spellEnd"/>
      <w:r>
        <w:rPr>
          <w:rFonts w:ascii="Verdana" w:eastAsia="Verdana" w:hAnsi="Verdana" w:cs="Verdana"/>
          <w:sz w:val="20"/>
          <w:szCs w:val="20"/>
          <w:highlight w:val="white"/>
        </w:rPr>
        <w:t xml:space="preserve"> Gómez, R.U.T. Nº </w:t>
      </w:r>
      <w:r w:rsidRPr="00065730">
        <w:rPr>
          <w:rFonts w:ascii="Verdana" w:eastAsia="Verdana" w:hAnsi="Verdana" w:cs="Verdana"/>
          <w:sz w:val="20"/>
          <w:szCs w:val="20"/>
          <w:highlight w:val="black"/>
        </w:rPr>
        <w:t xml:space="preserve">12.620.044-7 </w:t>
      </w:r>
      <w:r>
        <w:rPr>
          <w:rFonts w:ascii="Verdana" w:eastAsia="Verdana" w:hAnsi="Verdana" w:cs="Verdana"/>
          <w:sz w:val="20"/>
          <w:szCs w:val="20"/>
          <w:highlight w:val="white"/>
        </w:rPr>
        <w:t>(Presente);</w:t>
      </w:r>
    </w:p>
    <w:p w:rsidR="00AB1E32" w:rsidRDefault="008427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highlight w:val="white"/>
        </w:rPr>
      </w:pPr>
      <w:r>
        <w:rPr>
          <w:rFonts w:ascii="Verdana" w:eastAsia="Verdana" w:hAnsi="Verdana" w:cs="Verdana"/>
          <w:sz w:val="20"/>
          <w:szCs w:val="20"/>
          <w:highlight w:val="white"/>
        </w:rPr>
        <w:t xml:space="preserve">Sergio Gustavo </w:t>
      </w:r>
      <w:proofErr w:type="spellStart"/>
      <w:r>
        <w:rPr>
          <w:rFonts w:ascii="Verdana" w:eastAsia="Verdana" w:hAnsi="Verdana" w:cs="Verdana"/>
          <w:sz w:val="20"/>
          <w:szCs w:val="20"/>
          <w:highlight w:val="white"/>
        </w:rPr>
        <w:t>Cancino</w:t>
      </w:r>
      <w:proofErr w:type="spellEnd"/>
      <w:r>
        <w:rPr>
          <w:rFonts w:ascii="Verdana" w:eastAsia="Verdana" w:hAnsi="Verdana" w:cs="Verdana"/>
          <w:sz w:val="20"/>
          <w:szCs w:val="20"/>
          <w:highlight w:val="white"/>
        </w:rPr>
        <w:t xml:space="preserve"> Vargas, R.U.T. Nº </w:t>
      </w:r>
      <w:r w:rsidRPr="00065730">
        <w:rPr>
          <w:rFonts w:ascii="Verdana" w:eastAsia="Verdana" w:hAnsi="Verdana" w:cs="Verdana"/>
          <w:sz w:val="20"/>
          <w:szCs w:val="20"/>
          <w:highlight w:val="black"/>
        </w:rPr>
        <w:t xml:space="preserve">13.204.587-9 </w:t>
      </w:r>
      <w:r>
        <w:rPr>
          <w:rFonts w:ascii="Verdana" w:eastAsia="Verdana" w:hAnsi="Verdana" w:cs="Verdana"/>
          <w:sz w:val="20"/>
          <w:szCs w:val="20"/>
          <w:highlight w:val="white"/>
        </w:rPr>
        <w:t>(Presente); y</w:t>
      </w:r>
    </w:p>
    <w:p w:rsidR="00AB1E32" w:rsidRDefault="008427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highlight w:val="white"/>
        </w:rPr>
      </w:pPr>
      <w:r>
        <w:rPr>
          <w:rFonts w:ascii="Verdana" w:eastAsia="Verdana" w:hAnsi="Verdana" w:cs="Verdana"/>
          <w:sz w:val="20"/>
          <w:szCs w:val="20"/>
          <w:highlight w:val="white"/>
        </w:rPr>
        <w:t xml:space="preserve">Manuel Ignacio Vilches Parodi, R.U.T. N° </w:t>
      </w:r>
      <w:r w:rsidRPr="00065730">
        <w:rPr>
          <w:rFonts w:ascii="Verdana" w:eastAsia="Verdana" w:hAnsi="Verdana" w:cs="Verdana"/>
          <w:sz w:val="20"/>
          <w:szCs w:val="20"/>
          <w:highlight w:val="black"/>
        </w:rPr>
        <w:t xml:space="preserve">13.067.209-4 </w:t>
      </w:r>
      <w:r>
        <w:rPr>
          <w:rFonts w:ascii="Verdana" w:eastAsia="Verdana" w:hAnsi="Verdana" w:cs="Verdana"/>
          <w:sz w:val="20"/>
          <w:szCs w:val="20"/>
          <w:highlight w:val="white"/>
        </w:rPr>
        <w:t>(presente).</w:t>
      </w:r>
    </w:p>
    <w:p w:rsidR="00AB1E32" w:rsidRDefault="00AB1E32">
      <w:pPr>
        <w:jc w:val="both"/>
        <w:rPr>
          <w:rFonts w:ascii="Verdana" w:eastAsia="Verdana" w:hAnsi="Verdana" w:cs="Verdana"/>
          <w:sz w:val="20"/>
          <w:szCs w:val="20"/>
          <w:highlight w:val="white"/>
        </w:rPr>
      </w:pPr>
    </w:p>
    <w:p w:rsidR="00AB1E32" w:rsidRDefault="00842754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  <w:highlight w:val="white"/>
        </w:rPr>
        <w:t xml:space="preserve">A dicha Comisión, le corresponde evaluar los proyectos presentados </w:t>
      </w:r>
      <w:r>
        <w:rPr>
          <w:rFonts w:ascii="Verdana" w:eastAsia="Verdana" w:hAnsi="Verdana" w:cs="Verdana"/>
          <w:sz w:val="20"/>
          <w:szCs w:val="20"/>
        </w:rPr>
        <w:t xml:space="preserve">a la presente Convocatoria. Se deja constancia que se </w:t>
      </w:r>
      <w:r>
        <w:rPr>
          <w:rFonts w:ascii="Verdana" w:eastAsia="Verdana" w:hAnsi="Verdana" w:cs="Verdana"/>
          <w:sz w:val="20"/>
          <w:szCs w:val="20"/>
        </w:rPr>
        <w:t>encuentra presente la Secretaría del Fondo para el Fomento de la Música Nacional, en adelante la Secretaría.</w:t>
      </w:r>
    </w:p>
    <w:p w:rsidR="00AB1E32" w:rsidRDefault="00AB1E32">
      <w:pPr>
        <w:jc w:val="both"/>
        <w:rPr>
          <w:rFonts w:ascii="Verdana" w:eastAsia="Verdana" w:hAnsi="Verdana" w:cs="Verdana"/>
          <w:sz w:val="20"/>
          <w:szCs w:val="20"/>
        </w:rPr>
      </w:pPr>
    </w:p>
    <w:p w:rsidR="00AB1E32" w:rsidRDefault="00842754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Se deja constancia que los integrantes de la Comisión, con anterioridad al inicio de la sesión, fueron informados de las normas de probidad y abst</w:t>
      </w:r>
      <w:r>
        <w:rPr>
          <w:rFonts w:ascii="Verdana" w:eastAsia="Verdana" w:hAnsi="Verdana" w:cs="Verdana"/>
          <w:sz w:val="20"/>
          <w:szCs w:val="20"/>
        </w:rPr>
        <w:t>ención dispuestas en los artículos 52 y 53 de la Ley Nº 18.575, de Bases Generales de la Administración del Estado, y 12 de la Ley Nº 19.880, de Bases de los Procedimientos Administrativos que Rigen los Actos de los Órganos de la Administración del Estado,</w:t>
      </w:r>
      <w:r>
        <w:rPr>
          <w:rFonts w:ascii="Verdana" w:eastAsia="Verdana" w:hAnsi="Verdana" w:cs="Verdana"/>
          <w:sz w:val="20"/>
          <w:szCs w:val="20"/>
        </w:rPr>
        <w:t xml:space="preserve"> respectivamente.</w:t>
      </w:r>
    </w:p>
    <w:p w:rsidR="00AB1E32" w:rsidRDefault="00AB1E32">
      <w:pPr>
        <w:jc w:val="both"/>
        <w:rPr>
          <w:rFonts w:ascii="Verdana" w:eastAsia="Verdana" w:hAnsi="Verdana" w:cs="Verdana"/>
          <w:sz w:val="20"/>
          <w:szCs w:val="20"/>
        </w:rPr>
      </w:pPr>
    </w:p>
    <w:p w:rsidR="00AB1E32" w:rsidRDefault="00842754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PRIMERO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AB1E32" w:rsidRDefault="00842754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Los miembros de esta Comisión de Especialistas deciden que su Presidenta será María de los Ángeles Cerda Vega.</w:t>
      </w:r>
    </w:p>
    <w:p w:rsidR="00AB1E32" w:rsidRDefault="00AB1E32">
      <w:pPr>
        <w:jc w:val="both"/>
        <w:rPr>
          <w:rFonts w:ascii="Verdana" w:eastAsia="Verdana" w:hAnsi="Verdana" w:cs="Verdana"/>
          <w:sz w:val="20"/>
          <w:szCs w:val="20"/>
        </w:rPr>
      </w:pPr>
    </w:p>
    <w:p w:rsidR="00AB1E32" w:rsidRDefault="00842754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SEGUNDO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AB1E32" w:rsidRDefault="00842754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La Secretaría dio a conocer a la Comisión que el presente concurso cuenta con un presupuesto total de $455.000.000 (cuatrocientos cincuenta y cinco millones de pesos chilenos), de los cuales $150.000.000 (ciento cincuenta millones de pesos chilenos) corres</w:t>
      </w:r>
      <w:r>
        <w:rPr>
          <w:rFonts w:ascii="Verdana" w:eastAsia="Verdana" w:hAnsi="Verdana" w:cs="Verdana"/>
          <w:sz w:val="20"/>
          <w:szCs w:val="20"/>
        </w:rPr>
        <w:t xml:space="preserve">ponden a la Modalidad Desarrollo y Difusión de Catálogos de la Música Nacional, $80.000.000 (ochenta millones de pesos chilenos) a la Modalidad de Producción y Difusión de Videoclip, $225.000.000 (doscientos veinticinco millones de pesos chilenos) a la </w:t>
      </w:r>
      <w:r>
        <w:rPr>
          <w:rFonts w:ascii="Verdana" w:eastAsia="Verdana" w:hAnsi="Verdana" w:cs="Verdana"/>
          <w:sz w:val="20"/>
          <w:szCs w:val="20"/>
        </w:rPr>
        <w:lastRenderedPageBreak/>
        <w:t>Mod</w:t>
      </w:r>
      <w:r>
        <w:rPr>
          <w:rFonts w:ascii="Verdana" w:eastAsia="Verdana" w:hAnsi="Verdana" w:cs="Verdana"/>
          <w:sz w:val="20"/>
          <w:szCs w:val="20"/>
        </w:rPr>
        <w:t>alidad de Comunicaciones; pudiendo asignarse un monto máximo de $15.000.000 (quince millones de pesos chilenos) a cada proyecto en la modalidad de Desarrollo y Difusión de Catálogos de la Música Nacional; $4.000.000 (cuatro millones de pesos chilenos) a la</w:t>
      </w:r>
      <w:r>
        <w:rPr>
          <w:rFonts w:ascii="Verdana" w:eastAsia="Verdana" w:hAnsi="Verdana" w:cs="Verdana"/>
          <w:sz w:val="20"/>
          <w:szCs w:val="20"/>
        </w:rPr>
        <w:t xml:space="preserve"> Modalidad de Producción y Difusión de Videoclip; y $15.000.000 (quince millones de pesos chilenos) a la Modalidad de Comunicaciones. </w:t>
      </w:r>
    </w:p>
    <w:p w:rsidR="00AB1E32" w:rsidRDefault="00AB1E32">
      <w:pPr>
        <w:ind w:hanging="2"/>
        <w:jc w:val="both"/>
        <w:rPr>
          <w:rFonts w:ascii="Verdana" w:eastAsia="Verdana" w:hAnsi="Verdana" w:cs="Verdana"/>
          <w:sz w:val="20"/>
          <w:szCs w:val="20"/>
        </w:rPr>
      </w:pPr>
    </w:p>
    <w:p w:rsidR="00AB1E32" w:rsidRDefault="00842754">
      <w:pPr>
        <w:jc w:val="both"/>
        <w:rPr>
          <w:rFonts w:ascii="Verdana" w:eastAsia="Verdana" w:hAnsi="Verdana" w:cs="Verdana"/>
          <w:b/>
          <w:sz w:val="20"/>
          <w:szCs w:val="20"/>
          <w:u w:val="single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TERCERO</w:t>
      </w:r>
      <w:r>
        <w:rPr>
          <w:rFonts w:ascii="Verdana" w:eastAsia="Verdana" w:hAnsi="Verdana" w:cs="Verdana"/>
          <w:b/>
          <w:sz w:val="20"/>
          <w:szCs w:val="20"/>
        </w:rPr>
        <w:t>:</w:t>
      </w:r>
      <w:r>
        <w:rPr>
          <w:rFonts w:ascii="Verdana" w:eastAsia="Verdana" w:hAnsi="Verdana" w:cs="Verdana"/>
          <w:b/>
          <w:sz w:val="20"/>
          <w:szCs w:val="20"/>
          <w:u w:val="single"/>
        </w:rPr>
        <w:t xml:space="preserve"> </w:t>
      </w:r>
    </w:p>
    <w:p w:rsidR="00AB1E32" w:rsidRDefault="00842754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La Comisión de Especialistas procede a evaluar los proyectos que les fueron distribuidos por la Secretaría de </w:t>
      </w:r>
      <w:r>
        <w:rPr>
          <w:rFonts w:ascii="Verdana" w:eastAsia="Verdana" w:hAnsi="Verdana" w:cs="Verdana"/>
          <w:sz w:val="20"/>
          <w:szCs w:val="20"/>
        </w:rPr>
        <w:t>conformidad a los criterios establecidos en las Bases de convocatoria, siendo estos:</w:t>
      </w:r>
    </w:p>
    <w:p w:rsidR="00AB1E32" w:rsidRDefault="00AB1E32">
      <w:pPr>
        <w:jc w:val="both"/>
        <w:rPr>
          <w:rFonts w:ascii="Verdana" w:eastAsia="Verdana" w:hAnsi="Verdana" w:cs="Verdana"/>
          <w:sz w:val="20"/>
          <w:szCs w:val="20"/>
        </w:rPr>
      </w:pPr>
    </w:p>
    <w:tbl>
      <w:tblPr>
        <w:tblStyle w:val="a5"/>
        <w:tblW w:w="66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13"/>
        <w:gridCol w:w="2147"/>
      </w:tblGrid>
      <w:tr w:rsidR="00AB1E32">
        <w:trPr>
          <w:trHeight w:val="435"/>
          <w:jc w:val="center"/>
        </w:trPr>
        <w:tc>
          <w:tcPr>
            <w:tcW w:w="4513" w:type="dxa"/>
          </w:tcPr>
          <w:p w:rsidR="00AB1E32" w:rsidRDefault="00842754">
            <w:pPr>
              <w:rPr>
                <w:rFonts w:ascii="Verdana" w:eastAsia="Verdana" w:hAnsi="Verdana" w:cs="Verdana"/>
                <w:sz w:val="20"/>
                <w:szCs w:val="20"/>
              </w:rPr>
            </w:pPr>
            <w:bookmarkStart w:id="3" w:name="_heading=h.2et92p0" w:colFirst="0" w:colLast="0"/>
            <w:bookmarkEnd w:id="3"/>
            <w:r>
              <w:rPr>
                <w:rFonts w:ascii="Verdana" w:eastAsia="Verdana" w:hAnsi="Verdana" w:cs="Verdana"/>
                <w:sz w:val="20"/>
                <w:szCs w:val="20"/>
              </w:rPr>
              <w:t>Propuesta Técnico Financiera</w:t>
            </w:r>
          </w:p>
        </w:tc>
        <w:tc>
          <w:tcPr>
            <w:tcW w:w="2147" w:type="dxa"/>
          </w:tcPr>
          <w:p w:rsidR="00AB1E32" w:rsidRDefault="00842754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20 %</w:t>
            </w:r>
          </w:p>
        </w:tc>
      </w:tr>
      <w:tr w:rsidR="00AB1E32">
        <w:trPr>
          <w:trHeight w:val="420"/>
          <w:jc w:val="center"/>
        </w:trPr>
        <w:tc>
          <w:tcPr>
            <w:tcW w:w="4513" w:type="dxa"/>
          </w:tcPr>
          <w:p w:rsidR="00AB1E32" w:rsidRDefault="00842754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Currículo</w:t>
            </w:r>
          </w:p>
        </w:tc>
        <w:tc>
          <w:tcPr>
            <w:tcW w:w="2147" w:type="dxa"/>
          </w:tcPr>
          <w:p w:rsidR="00AB1E32" w:rsidRDefault="00842754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20 %</w:t>
            </w:r>
          </w:p>
        </w:tc>
      </w:tr>
      <w:tr w:rsidR="00AB1E32">
        <w:trPr>
          <w:trHeight w:val="420"/>
          <w:jc w:val="center"/>
        </w:trPr>
        <w:tc>
          <w:tcPr>
            <w:tcW w:w="4513" w:type="dxa"/>
          </w:tcPr>
          <w:p w:rsidR="00AB1E32" w:rsidRDefault="00842754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Calidad</w:t>
            </w:r>
          </w:p>
        </w:tc>
        <w:tc>
          <w:tcPr>
            <w:tcW w:w="2147" w:type="dxa"/>
          </w:tcPr>
          <w:p w:rsidR="00AB1E32" w:rsidRDefault="00842754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60%</w:t>
            </w:r>
          </w:p>
        </w:tc>
      </w:tr>
    </w:tbl>
    <w:p w:rsidR="00AB1E32" w:rsidRDefault="00AB1E32">
      <w:pPr>
        <w:jc w:val="both"/>
        <w:rPr>
          <w:rFonts w:ascii="Verdana" w:eastAsia="Verdana" w:hAnsi="Verdana" w:cs="Verdana"/>
          <w:sz w:val="20"/>
          <w:szCs w:val="20"/>
        </w:rPr>
      </w:pPr>
    </w:p>
    <w:tbl>
      <w:tblPr>
        <w:tblStyle w:val="a6"/>
        <w:tblW w:w="8640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40"/>
      </w:tblGrid>
      <w:tr w:rsidR="00AB1E32">
        <w:tc>
          <w:tcPr>
            <w:tcW w:w="8640" w:type="dxa"/>
            <w:shd w:val="clear" w:color="auto" w:fill="808080"/>
          </w:tcPr>
          <w:p w:rsidR="00AB1E32" w:rsidRDefault="00842754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Criterios de selección </w:t>
            </w:r>
          </w:p>
        </w:tc>
      </w:tr>
      <w:tr w:rsidR="00AB1E32">
        <w:tc>
          <w:tcPr>
            <w:tcW w:w="8640" w:type="dxa"/>
            <w:shd w:val="clear" w:color="auto" w:fill="auto"/>
          </w:tcPr>
          <w:p w:rsidR="00AB1E32" w:rsidRDefault="00842754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De mayor a menor puntaje obtenido en la evaluación, debiendo asignarse al menos el 50% de los recursos disponibles a proyectos de postulantes residentes en regiones distintas de la Metropolitana.</w:t>
            </w:r>
          </w:p>
        </w:tc>
      </w:tr>
      <w:tr w:rsidR="00AB1E32">
        <w:tc>
          <w:tcPr>
            <w:tcW w:w="8640" w:type="dxa"/>
            <w:shd w:val="clear" w:color="auto" w:fill="auto"/>
          </w:tcPr>
          <w:p w:rsidR="00AB1E32" w:rsidRDefault="00842754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Cuando no hayan suficientes proyectos elegibles para cumpli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r con este porcentaje de cuota regional, los recursos serán asignados en la misma instancia de selección según el criterio de mayor a menor puntaje, sin importar la región.</w:t>
            </w:r>
          </w:p>
        </w:tc>
      </w:tr>
    </w:tbl>
    <w:p w:rsidR="00AB1E32" w:rsidRDefault="00AB1E32">
      <w:pPr>
        <w:jc w:val="both"/>
        <w:rPr>
          <w:rFonts w:ascii="Verdana" w:eastAsia="Verdana" w:hAnsi="Verdana" w:cs="Verdana"/>
          <w:sz w:val="20"/>
          <w:szCs w:val="20"/>
        </w:rPr>
      </w:pPr>
    </w:p>
    <w:p w:rsidR="00AB1E32" w:rsidRDefault="00842754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CUARTO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AB1E32" w:rsidRDefault="00842754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Una vez concluida la evaluación de los proyectos la Comisión de Especiali</w:t>
      </w:r>
      <w:r>
        <w:rPr>
          <w:rFonts w:ascii="Verdana" w:eastAsia="Verdana" w:hAnsi="Verdana" w:cs="Verdana"/>
          <w:sz w:val="20"/>
          <w:szCs w:val="20"/>
        </w:rPr>
        <w:t>stas, deja constancia de lo siguiente:</w:t>
      </w:r>
    </w:p>
    <w:p w:rsidR="00AB1E32" w:rsidRDefault="00AB1E32">
      <w:pPr>
        <w:jc w:val="both"/>
        <w:rPr>
          <w:rFonts w:ascii="Verdana" w:eastAsia="Verdana" w:hAnsi="Verdana" w:cs="Verdana"/>
          <w:sz w:val="20"/>
          <w:szCs w:val="20"/>
        </w:rPr>
      </w:pPr>
    </w:p>
    <w:p w:rsidR="00AB1E32" w:rsidRDefault="0084275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El puntaje y fundamento de la evaluación a los proyectos presentados a la presente convocatoria, está disponible en la página web </w:t>
      </w:r>
      <w:hyperlink r:id="rId9">
        <w:r>
          <w:rPr>
            <w:rFonts w:ascii="Verdana" w:eastAsia="Verdana" w:hAnsi="Verdana" w:cs="Verdana"/>
            <w:color w:val="1155CC"/>
            <w:sz w:val="20"/>
            <w:szCs w:val="20"/>
            <w:u w:val="single"/>
          </w:rPr>
          <w:t>http://www.fondosdecultura.gob.cl/</w:t>
        </w:r>
      </w:hyperlink>
      <w:r>
        <w:rPr>
          <w:rFonts w:ascii="Verdana" w:eastAsia="Verdana" w:hAnsi="Verdana" w:cs="Verdana"/>
          <w:color w:val="000000"/>
          <w:sz w:val="20"/>
          <w:szCs w:val="20"/>
        </w:rPr>
        <w:t>.</w:t>
      </w:r>
      <w:r>
        <w:rPr>
          <w:rFonts w:ascii="Verdana" w:eastAsia="Verdana" w:hAnsi="Verdana" w:cs="Verdana"/>
          <w:sz w:val="20"/>
          <w:szCs w:val="20"/>
        </w:rPr>
        <w:t xml:space="preserve"> Asimismo, el fundamento de asignar recursos en un monto inferior al solicitado está disponible en el sitio web indicado.</w:t>
      </w:r>
    </w:p>
    <w:p w:rsidR="00AB1E32" w:rsidRDefault="0084275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El listado de los proyectos evaluados en la presente convocatoria, que contiene el nombre de los po</w:t>
      </w:r>
      <w:r>
        <w:rPr>
          <w:rFonts w:ascii="Verdana" w:eastAsia="Verdana" w:hAnsi="Verdana" w:cs="Verdana"/>
          <w:color w:val="000000"/>
          <w:sz w:val="20"/>
          <w:szCs w:val="20"/>
        </w:rPr>
        <w:t>stulantes, el título de los proyectos, la región y los recursos solicitados, se adjunta a la presente Acta y forma parte de ésta.</w:t>
      </w:r>
    </w:p>
    <w:p w:rsidR="00AB1E32" w:rsidRDefault="00AB1E32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Verdana" w:eastAsia="Verdana" w:hAnsi="Verdana" w:cs="Verdana"/>
          <w:color w:val="000000"/>
          <w:sz w:val="20"/>
          <w:szCs w:val="20"/>
        </w:rPr>
      </w:pPr>
    </w:p>
    <w:p w:rsidR="00AB1E32" w:rsidRDefault="00842754">
      <w:pPr>
        <w:jc w:val="both"/>
        <w:rPr>
          <w:rFonts w:ascii="Verdana" w:eastAsia="Verdana" w:hAnsi="Verdana" w:cs="Verdana"/>
          <w:b/>
          <w:sz w:val="20"/>
          <w:szCs w:val="20"/>
          <w:u w:val="single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QUINTO</w:t>
      </w:r>
      <w:r>
        <w:rPr>
          <w:rFonts w:ascii="Verdana" w:eastAsia="Verdana" w:hAnsi="Verdana" w:cs="Verdana"/>
          <w:b/>
          <w:sz w:val="20"/>
          <w:szCs w:val="20"/>
        </w:rPr>
        <w:t>:</w:t>
      </w:r>
      <w:r>
        <w:rPr>
          <w:rFonts w:ascii="Verdana" w:eastAsia="Verdana" w:hAnsi="Verdana" w:cs="Verdana"/>
          <w:b/>
          <w:sz w:val="20"/>
          <w:szCs w:val="20"/>
          <w:u w:val="single"/>
        </w:rPr>
        <w:t xml:space="preserve"> </w:t>
      </w:r>
    </w:p>
    <w:p w:rsidR="00AB1E32" w:rsidRDefault="00842754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A fin de evitar conflictos de interés o incumplimiento de las normas de probidad y abstención, el integrante de la C</w:t>
      </w:r>
      <w:r>
        <w:rPr>
          <w:rFonts w:ascii="Verdana" w:eastAsia="Verdana" w:hAnsi="Verdana" w:cs="Verdana"/>
          <w:sz w:val="20"/>
          <w:szCs w:val="20"/>
        </w:rPr>
        <w:t>omisión:</w:t>
      </w:r>
    </w:p>
    <w:p w:rsidR="00AB1E32" w:rsidRDefault="00AB1E32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</w:p>
    <w:p w:rsidR="00AB1E32" w:rsidRDefault="00842754">
      <w:pPr>
        <w:numPr>
          <w:ilvl w:val="0"/>
          <w:numId w:val="1"/>
        </w:num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Doña Sandra </w:t>
      </w:r>
      <w:proofErr w:type="spellStart"/>
      <w:r>
        <w:rPr>
          <w:rFonts w:ascii="Verdana" w:eastAsia="Verdana" w:hAnsi="Verdana" w:cs="Verdana"/>
          <w:sz w:val="20"/>
          <w:szCs w:val="20"/>
        </w:rPr>
        <w:t>Zeballos</w:t>
      </w:r>
      <w:proofErr w:type="spellEnd"/>
      <w:r>
        <w:rPr>
          <w:rFonts w:ascii="Verdana" w:eastAsia="Verdana" w:hAnsi="Verdana" w:cs="Verdana"/>
          <w:sz w:val="20"/>
          <w:szCs w:val="20"/>
        </w:rPr>
        <w:t xml:space="preserve"> Gómez se abstuvo de conocer el proyecto folio Nº 629099;</w:t>
      </w:r>
    </w:p>
    <w:p w:rsidR="00AB1E32" w:rsidRDefault="00842754">
      <w:pPr>
        <w:numPr>
          <w:ilvl w:val="0"/>
          <w:numId w:val="1"/>
        </w:num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Doña Macarena Lavín de </w:t>
      </w:r>
      <w:proofErr w:type="spellStart"/>
      <w:r>
        <w:rPr>
          <w:rFonts w:ascii="Verdana" w:eastAsia="Verdana" w:hAnsi="Verdana" w:cs="Verdana"/>
          <w:sz w:val="20"/>
          <w:szCs w:val="20"/>
        </w:rPr>
        <w:t>Tezanos</w:t>
      </w:r>
      <w:proofErr w:type="spellEnd"/>
      <w:r>
        <w:rPr>
          <w:rFonts w:ascii="Verdana" w:eastAsia="Verdana" w:hAnsi="Verdana" w:cs="Verdana"/>
          <w:sz w:val="20"/>
          <w:szCs w:val="20"/>
        </w:rPr>
        <w:t xml:space="preserve"> se abstuvo de conocer el proyecto folio Nº 633317;</w:t>
      </w:r>
    </w:p>
    <w:p w:rsidR="00AB1E32" w:rsidRDefault="00842754">
      <w:pPr>
        <w:numPr>
          <w:ilvl w:val="0"/>
          <w:numId w:val="1"/>
        </w:num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  <w:highlight w:val="white"/>
        </w:rPr>
      </w:pPr>
      <w:r>
        <w:rPr>
          <w:rFonts w:ascii="Verdana" w:eastAsia="Verdana" w:hAnsi="Verdana" w:cs="Verdana"/>
          <w:sz w:val="20"/>
          <w:szCs w:val="20"/>
          <w:highlight w:val="white"/>
        </w:rPr>
        <w:t>Don Manuel Vilches Parodi se abstuvo de conocer el proyecto folio Nº 618357;</w:t>
      </w:r>
    </w:p>
    <w:p w:rsidR="00AB1E32" w:rsidRDefault="00842754">
      <w:pPr>
        <w:numPr>
          <w:ilvl w:val="0"/>
          <w:numId w:val="1"/>
        </w:num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Doña Marí</w:t>
      </w:r>
      <w:r>
        <w:rPr>
          <w:rFonts w:ascii="Verdana" w:eastAsia="Verdana" w:hAnsi="Verdana" w:cs="Verdana"/>
          <w:sz w:val="20"/>
          <w:szCs w:val="20"/>
        </w:rPr>
        <w:t>a de los Ángeles Cerda, se abstuvo de conocer el proyecto folio Nº 626565.</w:t>
      </w:r>
    </w:p>
    <w:p w:rsidR="00AB1E32" w:rsidRDefault="00842754">
      <w:pPr>
        <w:numPr>
          <w:ilvl w:val="0"/>
          <w:numId w:val="1"/>
        </w:num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Don Sergio </w:t>
      </w:r>
      <w:proofErr w:type="spellStart"/>
      <w:r>
        <w:rPr>
          <w:rFonts w:ascii="Verdana" w:eastAsia="Verdana" w:hAnsi="Verdana" w:cs="Verdana"/>
          <w:sz w:val="20"/>
          <w:szCs w:val="20"/>
        </w:rPr>
        <w:t>Cancino</w:t>
      </w:r>
      <w:proofErr w:type="spellEnd"/>
      <w:r>
        <w:rPr>
          <w:rFonts w:ascii="Verdana" w:eastAsia="Verdana" w:hAnsi="Verdana" w:cs="Verdana"/>
          <w:sz w:val="20"/>
          <w:szCs w:val="20"/>
        </w:rPr>
        <w:t xml:space="preserve"> Vargas se abstuvo de conocer los proyectos folios Nº 617890 y Nº 617886; y</w:t>
      </w:r>
    </w:p>
    <w:p w:rsidR="00AB1E32" w:rsidRDefault="00842754">
      <w:pPr>
        <w:numPr>
          <w:ilvl w:val="0"/>
          <w:numId w:val="1"/>
        </w:num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Don Eduardo </w:t>
      </w:r>
      <w:proofErr w:type="spellStart"/>
      <w:r>
        <w:rPr>
          <w:rFonts w:ascii="Verdana" w:eastAsia="Verdana" w:hAnsi="Verdana" w:cs="Verdana"/>
          <w:sz w:val="20"/>
          <w:szCs w:val="20"/>
        </w:rPr>
        <w:t>Elgueta</w:t>
      </w:r>
      <w:proofErr w:type="spellEnd"/>
      <w:r>
        <w:rPr>
          <w:rFonts w:ascii="Verdana" w:eastAsia="Verdana" w:hAnsi="Verdana" w:cs="Verdana"/>
          <w:sz w:val="20"/>
          <w:szCs w:val="20"/>
        </w:rPr>
        <w:t xml:space="preserve"> Paz se abstuvo de conocer el proyecto folio Nº 633504.</w:t>
      </w:r>
    </w:p>
    <w:p w:rsidR="00AB1E32" w:rsidRDefault="00AB1E32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</w:p>
    <w:p w:rsidR="00AB1E32" w:rsidRDefault="00842754">
      <w:pPr>
        <w:tabs>
          <w:tab w:val="left" w:pos="-720"/>
        </w:tabs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SEXTO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AB1E32" w:rsidRDefault="00842754">
      <w:pPr>
        <w:tabs>
          <w:tab w:val="left" w:pos="-720"/>
        </w:tabs>
        <w:jc w:val="both"/>
        <w:rPr>
          <w:rFonts w:ascii="Verdana" w:eastAsia="Verdana" w:hAnsi="Verdana" w:cs="Verdana"/>
          <w:b/>
          <w:sz w:val="20"/>
          <w:szCs w:val="20"/>
          <w:u w:val="single"/>
        </w:rPr>
      </w:pPr>
      <w:r>
        <w:rPr>
          <w:rFonts w:ascii="Verdana" w:eastAsia="Verdana" w:hAnsi="Verdana" w:cs="Verdana"/>
          <w:sz w:val="20"/>
          <w:szCs w:val="20"/>
          <w:highlight w:val="white"/>
        </w:rPr>
        <w:t>Se deja constancia en acta que la Comisión de Especialistas ha adjudicado en total la suma de $</w:t>
      </w:r>
      <w:r>
        <w:rPr>
          <w:rFonts w:ascii="Verdana" w:eastAsia="Verdana" w:hAnsi="Verdana" w:cs="Verdana"/>
          <w:color w:val="000000"/>
          <w:sz w:val="20"/>
          <w:szCs w:val="20"/>
        </w:rPr>
        <w:t>224.860.210</w:t>
      </w:r>
      <w:r>
        <w:rPr>
          <w:rFonts w:ascii="Verdana" w:eastAsia="Verdana" w:hAnsi="Verdana" w:cs="Verdana"/>
          <w:sz w:val="20"/>
          <w:szCs w:val="20"/>
          <w:highlight w:val="white"/>
        </w:rPr>
        <w:t xml:space="preserve"> (doscientos veinticuatro millones ochocientos sesenta mil doscientos diez de pesos chilenos), quedando disponible un remanente de </w:t>
      </w:r>
      <w:r>
        <w:rPr>
          <w:rFonts w:ascii="Verdana" w:eastAsia="Verdana" w:hAnsi="Verdana" w:cs="Verdana"/>
          <w:sz w:val="20"/>
          <w:szCs w:val="20"/>
        </w:rPr>
        <w:t>$139.790</w:t>
      </w:r>
      <w:r>
        <w:rPr>
          <w:rFonts w:ascii="Verdana" w:eastAsia="Verdana" w:hAnsi="Verdana" w:cs="Verdana"/>
          <w:sz w:val="20"/>
          <w:szCs w:val="20"/>
          <w:highlight w:val="white"/>
        </w:rPr>
        <w:t xml:space="preserve"> (cientos t</w:t>
      </w:r>
      <w:r>
        <w:rPr>
          <w:rFonts w:ascii="Verdana" w:eastAsia="Verdana" w:hAnsi="Verdana" w:cs="Verdana"/>
          <w:sz w:val="20"/>
          <w:szCs w:val="20"/>
          <w:highlight w:val="white"/>
        </w:rPr>
        <w:t>reinta y nueve mil setecientos noventa pesos chilenos).</w:t>
      </w:r>
    </w:p>
    <w:p w:rsidR="00AB1E32" w:rsidRDefault="00AB1E32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</w:p>
    <w:p w:rsidR="00AB1E32" w:rsidRDefault="00AB1E32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</w:p>
    <w:p w:rsidR="00AB1E32" w:rsidRDefault="00842754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Siendo el día </w:t>
      </w:r>
      <w:proofErr w:type="gramStart"/>
      <w:r>
        <w:rPr>
          <w:rFonts w:ascii="Verdana" w:eastAsia="Verdana" w:hAnsi="Verdana" w:cs="Verdana"/>
          <w:sz w:val="20"/>
          <w:szCs w:val="20"/>
        </w:rPr>
        <w:t>jueves  25</w:t>
      </w:r>
      <w:proofErr w:type="gramEnd"/>
      <w:r>
        <w:rPr>
          <w:rFonts w:ascii="Verdana" w:eastAsia="Verdana" w:hAnsi="Verdana" w:cs="Verdana"/>
          <w:sz w:val="20"/>
          <w:szCs w:val="20"/>
        </w:rPr>
        <w:t xml:space="preserve"> de noviembre del año 2021, a las 14:00 hrs., se cierra la sesión. </w:t>
      </w:r>
    </w:p>
    <w:p w:rsidR="00AB1E32" w:rsidRDefault="00AB1E32">
      <w:pPr>
        <w:jc w:val="both"/>
        <w:rPr>
          <w:rFonts w:ascii="Verdana" w:eastAsia="Verdana" w:hAnsi="Verdana" w:cs="Verdana"/>
          <w:b/>
          <w:sz w:val="20"/>
          <w:szCs w:val="20"/>
          <w:u w:val="single"/>
        </w:rPr>
      </w:pPr>
    </w:p>
    <w:p w:rsidR="00AB1E32" w:rsidRDefault="00AB1E32">
      <w:pPr>
        <w:jc w:val="both"/>
        <w:rPr>
          <w:rFonts w:ascii="Verdana" w:eastAsia="Verdana" w:hAnsi="Verdana" w:cs="Verdana"/>
          <w:b/>
          <w:sz w:val="20"/>
          <w:szCs w:val="20"/>
          <w:u w:val="single"/>
        </w:rPr>
      </w:pPr>
    </w:p>
    <w:p w:rsidR="00AB1E32" w:rsidRDefault="00AB1E32">
      <w:pPr>
        <w:jc w:val="both"/>
        <w:rPr>
          <w:rFonts w:ascii="Verdana" w:eastAsia="Verdana" w:hAnsi="Verdana" w:cs="Verdana"/>
          <w:b/>
          <w:sz w:val="20"/>
          <w:szCs w:val="20"/>
          <w:u w:val="single"/>
        </w:rPr>
      </w:pPr>
    </w:p>
    <w:p w:rsidR="00AB1E32" w:rsidRDefault="00842754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Firma la presente acta:</w:t>
      </w:r>
    </w:p>
    <w:p w:rsidR="00AB1E32" w:rsidRDefault="00AB1E32">
      <w:pPr>
        <w:jc w:val="both"/>
        <w:rPr>
          <w:rFonts w:ascii="Verdana" w:eastAsia="Verdana" w:hAnsi="Verdana" w:cs="Verdana"/>
          <w:sz w:val="20"/>
          <w:szCs w:val="20"/>
        </w:rPr>
      </w:pPr>
    </w:p>
    <w:p w:rsidR="00AB1E32" w:rsidRDefault="00AB1E32">
      <w:pPr>
        <w:jc w:val="both"/>
        <w:rPr>
          <w:rFonts w:ascii="Verdana" w:eastAsia="Verdana" w:hAnsi="Verdana" w:cs="Verdana"/>
          <w:sz w:val="20"/>
          <w:szCs w:val="20"/>
        </w:rPr>
      </w:pPr>
    </w:p>
    <w:p w:rsidR="00AB1E32" w:rsidRDefault="00842754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noProof/>
          <w:sz w:val="20"/>
          <w:szCs w:val="20"/>
          <w:lang w:val="es-CL" w:eastAsia="es-CL"/>
        </w:rPr>
        <w:drawing>
          <wp:inline distT="114300" distB="114300" distL="114300" distR="114300">
            <wp:extent cx="1672273" cy="1114848"/>
            <wp:effectExtent l="0" t="0" r="0" b="0"/>
            <wp:docPr id="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2273" cy="11148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B1E32" w:rsidRDefault="00AB1E32">
      <w:pPr>
        <w:jc w:val="both"/>
        <w:rPr>
          <w:rFonts w:ascii="Verdana" w:eastAsia="Verdana" w:hAnsi="Verdana" w:cs="Verdana"/>
          <w:b/>
          <w:sz w:val="20"/>
          <w:szCs w:val="20"/>
        </w:rPr>
      </w:pPr>
      <w:bookmarkStart w:id="4" w:name="_heading=h.3znysh7" w:colFirst="0" w:colLast="0"/>
      <w:bookmarkEnd w:id="4"/>
    </w:p>
    <w:p w:rsidR="00AB1E32" w:rsidRDefault="00842754">
      <w:pPr>
        <w:jc w:val="both"/>
        <w:rPr>
          <w:rFonts w:ascii="Verdana" w:eastAsia="Verdana" w:hAnsi="Verdana" w:cs="Verdana"/>
          <w:b/>
          <w:sz w:val="20"/>
          <w:szCs w:val="20"/>
        </w:rPr>
      </w:pPr>
      <w:bookmarkStart w:id="5" w:name="_heading=h.biby7s3ugbmk" w:colFirst="0" w:colLast="0"/>
      <w:bookmarkEnd w:id="5"/>
      <w:r>
        <w:rPr>
          <w:rFonts w:ascii="Verdana" w:eastAsia="Verdana" w:hAnsi="Verdana" w:cs="Verdana"/>
          <w:b/>
          <w:sz w:val="20"/>
          <w:szCs w:val="20"/>
        </w:rPr>
        <w:t>María de los Ángeles Cerda Vega</w:t>
      </w:r>
    </w:p>
    <w:p w:rsidR="00AB1E32" w:rsidRDefault="00842754">
      <w:pPr>
        <w:jc w:val="both"/>
        <w:rPr>
          <w:rFonts w:ascii="Verdana" w:eastAsia="Verdana" w:hAnsi="Verdana" w:cs="Verdana"/>
          <w:sz w:val="20"/>
          <w:szCs w:val="20"/>
        </w:rPr>
      </w:pPr>
      <w:bookmarkStart w:id="6" w:name="_heading=h.9407w7ree56b" w:colFirst="0" w:colLast="0"/>
      <w:bookmarkEnd w:id="6"/>
      <w:r w:rsidRPr="00065730">
        <w:rPr>
          <w:rFonts w:ascii="Verdana" w:eastAsia="Verdana" w:hAnsi="Verdana" w:cs="Verdana"/>
          <w:sz w:val="20"/>
          <w:szCs w:val="20"/>
          <w:highlight w:val="black"/>
        </w:rPr>
        <w:t xml:space="preserve">C.I. N° </w:t>
      </w:r>
      <w:r w:rsidRPr="00065730">
        <w:rPr>
          <w:rFonts w:ascii="Verdana" w:eastAsia="Verdana" w:hAnsi="Verdana" w:cs="Verdana"/>
          <w:sz w:val="20"/>
          <w:szCs w:val="20"/>
          <w:highlight w:val="black"/>
        </w:rPr>
        <w:t>13.946.001-4</w:t>
      </w:r>
      <w:bookmarkStart w:id="7" w:name="_GoBack"/>
      <w:bookmarkEnd w:id="7"/>
    </w:p>
    <w:sectPr w:rsidR="00AB1E32">
      <w:footerReference w:type="even" r:id="rId11"/>
      <w:footerReference w:type="default" r:id="rId12"/>
      <w:pgSz w:w="12242" w:h="15842"/>
      <w:pgMar w:top="902" w:right="1701" w:bottom="1418" w:left="1259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754" w:rsidRDefault="00842754">
      <w:r>
        <w:separator/>
      </w:r>
    </w:p>
  </w:endnote>
  <w:endnote w:type="continuationSeparator" w:id="0">
    <w:p w:rsidR="00842754" w:rsidRDefault="00842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E32" w:rsidRDefault="0084275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AB1E32" w:rsidRDefault="00AB1E3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E32" w:rsidRDefault="00AB1E3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</w:p>
  <w:p w:rsidR="00AB1E32" w:rsidRDefault="00AB1E3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754" w:rsidRDefault="00842754">
      <w:r>
        <w:separator/>
      </w:r>
    </w:p>
  </w:footnote>
  <w:footnote w:type="continuationSeparator" w:id="0">
    <w:p w:rsidR="00842754" w:rsidRDefault="00842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F560F"/>
    <w:multiLevelType w:val="multilevel"/>
    <w:tmpl w:val="AAFE64F0"/>
    <w:lvl w:ilvl="0">
      <w:start w:val="1"/>
      <w:numFmt w:val="decimal"/>
      <w:lvlText w:val="%1."/>
      <w:lvlJc w:val="left"/>
      <w:pPr>
        <w:ind w:left="2062" w:hanging="360"/>
      </w:pPr>
      <w:rPr>
        <w:rFonts w:ascii="Verdana" w:eastAsia="Verdana" w:hAnsi="Verdana" w:cs="Verdana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65016B"/>
    <w:multiLevelType w:val="multilevel"/>
    <w:tmpl w:val="0C1025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74F3647A"/>
    <w:multiLevelType w:val="multilevel"/>
    <w:tmpl w:val="B1D231B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E32"/>
    <w:rsid w:val="00065730"/>
    <w:rsid w:val="00842754"/>
    <w:rsid w:val="00AB1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FF319F-3923-4F56-8CA1-A7242E0F6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ES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F46"/>
    <w:rPr>
      <w:lang w:eastAsia="es-E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rsid w:val="00A66F46"/>
    <w:rPr>
      <w:color w:val="0000FF"/>
      <w:u w:val="single"/>
    </w:rPr>
  </w:style>
  <w:style w:type="paragraph" w:styleId="Piedepgina">
    <w:name w:val="footer"/>
    <w:basedOn w:val="Normal"/>
    <w:link w:val="PiedepginaCar"/>
    <w:rsid w:val="00A66F4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A66F4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A66F46"/>
  </w:style>
  <w:style w:type="character" w:styleId="Refdecomentario">
    <w:name w:val="annotation reference"/>
    <w:uiPriority w:val="99"/>
    <w:semiHidden/>
    <w:rsid w:val="00A66F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A66F46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A66F4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A66F46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66F4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A66F46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Prrafodelista1">
    <w:name w:val="Párrafo de lista1"/>
    <w:basedOn w:val="Normal"/>
    <w:rsid w:val="006803A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CL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7E50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C67E50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hyperlink" Target="http://www.fondosdecultura.gob.c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swLkL4aUXc+M4RhdI4GCC29HRg==">AMUW2mUZgyDo96KVTS7rgRxMOCqRLiThYZR8wOAHmTThxa8DX3aFM1KFPFllpFvHyqWYFIZZhHKhCknX2rDPvo/WGyhkSU1M3KVLPijpmfrtMhS7JvKNWp+MN5/KnKSFNvmMaOt4a9P9Q+439ckI97E/Nn2ZCLIr15l90lLoFsR7dJPJ4wJaz/l1grgS7Z3lJfWKMrq++XbP4NoXgar7xlAN6COLCKKADLYZqu7WRpndfF01/Y3G648=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852</Words>
  <Characters>4688</Characters>
  <Application>Microsoft Office Word</Application>
  <DocSecurity>0</DocSecurity>
  <Lines>39</Lines>
  <Paragraphs>11</Paragraphs>
  <ScaleCrop>false</ScaleCrop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Rebeca Valenzuela Soto</dc:creator>
  <cp:lastModifiedBy>Ana Alejandra Mora Peña</cp:lastModifiedBy>
  <cp:revision>2</cp:revision>
  <dcterms:created xsi:type="dcterms:W3CDTF">2021-10-22T19:34:00Z</dcterms:created>
  <dcterms:modified xsi:type="dcterms:W3CDTF">2022-01-04T12:55:00Z</dcterms:modified>
</cp:coreProperties>
</file>